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70E" w:rsidRDefault="00C2170E" w:rsidP="00C2170E">
      <w:pPr>
        <w:spacing w:before="100" w:beforeAutospacing="1" w:after="100" w:afterAutospacing="1"/>
        <w:rPr>
          <w:rFonts w:ascii="TimesNewRomanPS" w:hAnsi="TimesNewRomanPS"/>
          <w:b/>
          <w:bCs/>
          <w:sz w:val="36"/>
          <w:szCs w:val="36"/>
          <w:lang w:val="en-US"/>
        </w:rPr>
      </w:pPr>
      <w:r>
        <w:rPr>
          <w:rFonts w:ascii="TimesNewRomanPS" w:hAnsi="TimesNewRomanPS"/>
          <w:b/>
          <w:bCs/>
          <w:sz w:val="36"/>
          <w:szCs w:val="36"/>
          <w:lang w:val="en-US"/>
        </w:rPr>
        <w:t xml:space="preserve">                                  </w:t>
      </w:r>
    </w:p>
    <w:p w:rsidR="00C2170E" w:rsidRDefault="00C2170E" w:rsidP="00C2170E">
      <w:pPr>
        <w:spacing w:before="100" w:beforeAutospacing="1" w:after="100" w:afterAutospacing="1"/>
        <w:rPr>
          <w:rFonts w:ascii="TimesNewRomanPS" w:hAnsi="TimesNewRomanPS"/>
          <w:b/>
          <w:bCs/>
          <w:sz w:val="36"/>
          <w:szCs w:val="36"/>
          <w:lang w:val="en-US"/>
        </w:rPr>
      </w:pPr>
      <w:r>
        <w:rPr>
          <w:rFonts w:ascii="TimesNewRomanPS" w:hAnsi="TimesNewRomanPS"/>
          <w:b/>
          <w:bCs/>
          <w:sz w:val="36"/>
          <w:szCs w:val="36"/>
          <w:lang w:val="en-US"/>
        </w:rPr>
        <w:t xml:space="preserve">                                        </w:t>
      </w:r>
      <w:r>
        <w:rPr>
          <w:rFonts w:ascii="TimesNewRomanPS" w:hAnsi="TimesNewRomanPS"/>
          <w:b/>
          <w:bCs/>
          <w:noProof/>
          <w:sz w:val="36"/>
          <w:szCs w:val="36"/>
          <w:lang w:val="en-US"/>
        </w:rPr>
        <w:drawing>
          <wp:inline distT="0" distB="0" distL="0" distR="0" wp14:anchorId="132F410C" wp14:editId="16DF3484">
            <wp:extent cx="1193458" cy="1193458"/>
            <wp:effectExtent l="0" t="0" r="635" b="635"/>
            <wp:docPr id="44515126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51265" name="Immagine 4451512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465" cy="1199465"/>
                    </a:xfrm>
                    <a:prstGeom prst="rect">
                      <a:avLst/>
                    </a:prstGeom>
                  </pic:spPr>
                </pic:pic>
              </a:graphicData>
            </a:graphic>
          </wp:inline>
        </w:drawing>
      </w:r>
    </w:p>
    <w:p w:rsidR="00C2170E" w:rsidRPr="001D71DB" w:rsidRDefault="00C2170E" w:rsidP="00C2170E">
      <w:pPr>
        <w:spacing w:before="100" w:beforeAutospacing="1" w:after="100" w:afterAutospacing="1"/>
        <w:rPr>
          <w:rFonts w:ascii="TimesNewRomanPS" w:hAnsi="TimesNewRomanPS"/>
          <w:b/>
          <w:bCs/>
          <w:sz w:val="36"/>
          <w:szCs w:val="36"/>
          <w:lang w:val="en-US"/>
        </w:rPr>
      </w:pPr>
      <w:r w:rsidRPr="001D71DB">
        <w:rPr>
          <w:rFonts w:ascii="TimesNewRomanPS" w:hAnsi="TimesNewRomanPS"/>
          <w:b/>
          <w:bCs/>
          <w:sz w:val="36"/>
          <w:szCs w:val="36"/>
          <w:lang w:val="en-US"/>
        </w:rPr>
        <w:t xml:space="preserve">SAFETY DATA SHEET (SDS) </w:t>
      </w:r>
    </w:p>
    <w:p w:rsidR="00C2170E" w:rsidRDefault="00C2170E" w:rsidP="00C2170E">
      <w:pPr>
        <w:spacing w:before="100" w:beforeAutospacing="1" w:after="100" w:afterAutospacing="1"/>
        <w:rPr>
          <w:sz w:val="20"/>
          <w:szCs w:val="20"/>
          <w:lang w:val="en-US"/>
        </w:rPr>
      </w:pPr>
      <w:r w:rsidRPr="001D71DB">
        <w:rPr>
          <w:rFonts w:ascii="TimesNewRomanPSMT" w:hAnsi="TimesNewRomanPSMT"/>
          <w:sz w:val="20"/>
          <w:szCs w:val="20"/>
          <w:lang w:val="en-US"/>
        </w:rPr>
        <w:t>Essential Oil:</w:t>
      </w:r>
      <w:r w:rsidRPr="001D71DB">
        <w:rPr>
          <w:lang w:val="en-US"/>
        </w:rPr>
        <w:t xml:space="preserve"> </w:t>
      </w:r>
      <w:r>
        <w:rPr>
          <w:lang w:val="en-US"/>
        </w:rPr>
        <w:t>Geranium</w:t>
      </w:r>
      <w:r w:rsidRPr="001D71DB">
        <w:rPr>
          <w:sz w:val="20"/>
          <w:szCs w:val="20"/>
          <w:lang w:val="en-US"/>
        </w:rPr>
        <w:br/>
      </w:r>
      <w:r w:rsidRPr="001D71DB">
        <w:rPr>
          <w:rFonts w:ascii="TimesNewRomanPSMT" w:hAnsi="TimesNewRomanPSMT"/>
          <w:sz w:val="20"/>
          <w:szCs w:val="20"/>
          <w:lang w:val="en-US"/>
        </w:rPr>
        <w:t xml:space="preserve">SDS Created: </w:t>
      </w:r>
      <w:r>
        <w:rPr>
          <w:sz w:val="20"/>
          <w:szCs w:val="20"/>
          <w:lang w:val="en-US"/>
        </w:rPr>
        <w:t>6 NOV</w:t>
      </w:r>
      <w:r w:rsidRPr="001D71DB">
        <w:rPr>
          <w:sz w:val="20"/>
          <w:szCs w:val="20"/>
          <w:lang w:val="en-US"/>
        </w:rPr>
        <w:t xml:space="preserve"> </w:t>
      </w:r>
      <w:r w:rsidRPr="001D71DB">
        <w:rPr>
          <w:rFonts w:ascii="TimesNewRomanPSMT" w:hAnsi="TimesNewRomanPSMT"/>
          <w:sz w:val="20"/>
          <w:szCs w:val="20"/>
          <w:lang w:val="en-US"/>
        </w:rPr>
        <w:t>202</w:t>
      </w:r>
      <w:r>
        <w:rPr>
          <w:sz w:val="20"/>
          <w:szCs w:val="20"/>
          <w:lang w:val="en-US"/>
        </w:rPr>
        <w:t>5</w:t>
      </w:r>
      <w:r w:rsidRPr="001D71DB">
        <w:rPr>
          <w:sz w:val="20"/>
          <w:szCs w:val="20"/>
          <w:lang w:val="en-US"/>
        </w:rPr>
        <w:t xml:space="preserve"> </w:t>
      </w:r>
    </w:p>
    <w:p w:rsidR="00C2170E" w:rsidRPr="001E25CD" w:rsidRDefault="00C2170E" w:rsidP="00C2170E">
      <w:pPr>
        <w:spacing w:before="100" w:beforeAutospacing="1" w:after="100" w:afterAutospacing="1"/>
        <w:rPr>
          <w:sz w:val="20"/>
          <w:szCs w:val="20"/>
          <w:lang w:val="en-US"/>
        </w:rPr>
      </w:pPr>
      <w:r w:rsidRPr="001D71DB">
        <w:rPr>
          <w:rFonts w:ascii="TimesNewRomanPSMT" w:hAnsi="TimesNewRomanPSMT"/>
          <w:sz w:val="20"/>
          <w:szCs w:val="20"/>
          <w:lang w:val="en-US"/>
        </w:rPr>
        <w:t xml:space="preserve">Revision Date: </w:t>
      </w:r>
      <w:r>
        <w:rPr>
          <w:rFonts w:ascii="TimesNewRomanPSMT" w:hAnsi="TimesNewRomanPSMT"/>
          <w:sz w:val="20"/>
          <w:szCs w:val="20"/>
          <w:lang w:val="en-US"/>
        </w:rPr>
        <w:t>6</w:t>
      </w:r>
      <w:r w:rsidRPr="001D71DB">
        <w:rPr>
          <w:rFonts w:ascii="TimesNewRomanPSMT" w:hAnsi="TimesNewRomanPSMT"/>
          <w:sz w:val="20"/>
          <w:szCs w:val="20"/>
          <w:lang w:val="en-US"/>
        </w:rPr>
        <w:t xml:space="preserve"> </w:t>
      </w:r>
      <w:r>
        <w:rPr>
          <w:rFonts w:ascii="TimesNewRomanPSMT" w:hAnsi="TimesNewRomanPSMT"/>
          <w:sz w:val="20"/>
          <w:szCs w:val="20"/>
          <w:lang w:val="en-US"/>
        </w:rPr>
        <w:t xml:space="preserve">NOV </w:t>
      </w:r>
      <w:r w:rsidRPr="001D71DB">
        <w:rPr>
          <w:rFonts w:ascii="TimesNewRomanPSMT" w:hAnsi="TimesNewRomanPSMT"/>
          <w:sz w:val="20"/>
          <w:szCs w:val="20"/>
          <w:lang w:val="en-US"/>
        </w:rPr>
        <w:t>202</w:t>
      </w:r>
      <w:r>
        <w:rPr>
          <w:sz w:val="20"/>
          <w:szCs w:val="20"/>
          <w:lang w:val="en-US"/>
        </w:rPr>
        <w:t>7</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SECTION 1</w:t>
      </w:r>
      <w:proofErr w:type="gramStart"/>
      <w:r w:rsidRPr="001D71DB">
        <w:rPr>
          <w:rFonts w:ascii="TimesNewRomanPS" w:hAnsi="TimesNewRomanPS"/>
          <w:b/>
          <w:bCs/>
          <w:sz w:val="20"/>
          <w:szCs w:val="20"/>
          <w:shd w:val="clear" w:color="auto" w:fill="8CA8D8"/>
          <w:lang w:val="en-US"/>
        </w:rPr>
        <w:t>: :</w:t>
      </w:r>
      <w:proofErr w:type="gramEnd"/>
      <w:r w:rsidRPr="001D71DB">
        <w:rPr>
          <w:rFonts w:ascii="TimesNewRomanPS" w:hAnsi="TimesNewRomanPS"/>
          <w:b/>
          <w:bCs/>
          <w:sz w:val="20"/>
          <w:szCs w:val="20"/>
          <w:shd w:val="clear" w:color="auto" w:fill="8CA8D8"/>
          <w:lang w:val="en-US"/>
        </w:rPr>
        <w:t xml:space="preserve"> IDENTIFICATION OF THE PRODUCT AND COMPANY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1.1 Globally Harmonized System (GHS) product identifier </w:t>
      </w:r>
    </w:p>
    <w:p w:rsidR="00C2170E" w:rsidRPr="00C2170E" w:rsidRDefault="00C2170E" w:rsidP="00C2170E">
      <w:pPr>
        <w:spacing w:before="100" w:beforeAutospacing="1" w:after="100" w:afterAutospacing="1"/>
        <w:rPr>
          <w:lang w:val="en-US"/>
        </w:rPr>
      </w:pPr>
      <w:r w:rsidRPr="001D71DB">
        <w:rPr>
          <w:rFonts w:ascii="TimesNewRomanPSMT" w:hAnsi="TimesNewRomanPSMT"/>
          <w:sz w:val="20"/>
          <w:szCs w:val="20"/>
          <w:lang w:val="en-US"/>
        </w:rPr>
        <w:t>Product name:</w:t>
      </w:r>
      <w:r>
        <w:rPr>
          <w:rFonts w:ascii="TimesNewRomanPSMT" w:hAnsi="TimesNewRomanPSMT"/>
          <w:sz w:val="20"/>
          <w:szCs w:val="20"/>
          <w:lang w:val="en-US"/>
        </w:rPr>
        <w:t xml:space="preserve"> </w:t>
      </w:r>
      <w:r w:rsidRPr="00C2170E">
        <w:rPr>
          <w:lang w:val="en-US"/>
        </w:rPr>
        <w:t>Geranium Essential Oil</w:t>
      </w:r>
      <w:r w:rsidRPr="001D71DB">
        <w:rPr>
          <w:sz w:val="20"/>
          <w:szCs w:val="20"/>
          <w:lang w:val="en-US"/>
        </w:rPr>
        <w:br/>
      </w:r>
      <w:r w:rsidRPr="001D71DB">
        <w:rPr>
          <w:rFonts w:ascii="TimesNewRomanPSMT" w:hAnsi="TimesNewRomanPSMT"/>
          <w:sz w:val="20"/>
          <w:szCs w:val="20"/>
          <w:lang w:val="en-US"/>
        </w:rPr>
        <w:t xml:space="preserve">Latin name of botanical source: </w:t>
      </w:r>
      <w:r w:rsidRPr="00F76EC5">
        <w:rPr>
          <w:lang w:val="en-US"/>
        </w:rPr>
        <w:t xml:space="preserve"> </w:t>
      </w:r>
      <w:r w:rsidRPr="00C2170E">
        <w:rPr>
          <w:lang w:val="en-US"/>
        </w:rPr>
        <w:t>Pelargonium graveolens</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INCI Name:</w:t>
      </w:r>
      <w:r w:rsidRPr="00F76EC5">
        <w:rPr>
          <w:lang w:val="en-US"/>
        </w:rPr>
        <w:t xml:space="preserve"> </w:t>
      </w:r>
      <w:proofErr w:type="spellStart"/>
      <w:r>
        <w:t>Pelargonium</w:t>
      </w:r>
      <w:proofErr w:type="spellEnd"/>
      <w:r>
        <w:t xml:space="preserve"> </w:t>
      </w:r>
      <w:proofErr w:type="spellStart"/>
      <w:r>
        <w:t>graveolens</w:t>
      </w:r>
      <w:proofErr w:type="spellEnd"/>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1.2 Other means of identification </w:t>
      </w:r>
    </w:p>
    <w:p w:rsidR="00C2170E" w:rsidRDefault="00C2170E" w:rsidP="00C2170E">
      <w:pPr>
        <w:spacing w:before="100" w:beforeAutospacing="1" w:after="100" w:afterAutospacing="1"/>
        <w:rPr>
          <w:lang w:val="en-US"/>
        </w:rPr>
      </w:pPr>
      <w:r w:rsidRPr="001D71DB">
        <w:rPr>
          <w:rFonts w:ascii="TimesNewRomanPSMT" w:hAnsi="TimesNewRomanPSMT"/>
          <w:sz w:val="20"/>
          <w:szCs w:val="20"/>
          <w:lang w:val="en-US"/>
        </w:rPr>
        <w:t>Item number/size:</w:t>
      </w:r>
      <w:r>
        <w:rPr>
          <w:rFonts w:ascii="TimesNewRomanPSMT" w:hAnsi="TimesNewRomanPSMT"/>
          <w:sz w:val="20"/>
          <w:szCs w:val="20"/>
          <w:lang w:val="en-US"/>
        </w:rPr>
        <w:t xml:space="preserve"> </w:t>
      </w:r>
      <w:r>
        <w:rPr>
          <w:sz w:val="20"/>
          <w:szCs w:val="20"/>
          <w:lang w:val="en-US"/>
        </w:rPr>
        <w:t>AM-001-35</w:t>
      </w:r>
      <w:r>
        <w:rPr>
          <w:sz w:val="20"/>
          <w:szCs w:val="20"/>
          <w:lang w:val="en-US"/>
        </w:rPr>
        <w:t>2</w:t>
      </w:r>
      <w:r w:rsidRPr="001D71DB">
        <w:rPr>
          <w:rFonts w:ascii="TimesNewRomanPSMT" w:hAnsi="TimesNewRomanPSMT"/>
          <w:sz w:val="20"/>
          <w:szCs w:val="20"/>
          <w:lang w:val="en-US"/>
        </w:rPr>
        <w:t xml:space="preserve">– </w:t>
      </w:r>
      <w:r w:rsidRPr="001D71DB">
        <w:rPr>
          <w:sz w:val="20"/>
          <w:szCs w:val="20"/>
          <w:lang w:val="en-US"/>
        </w:rPr>
        <w:t>1</w:t>
      </w:r>
      <w:r w:rsidRPr="001D71DB">
        <w:rPr>
          <w:rFonts w:ascii="TimesNewRomanPSMT" w:hAnsi="TimesNewRomanPSMT"/>
          <w:sz w:val="20"/>
          <w:szCs w:val="20"/>
          <w:lang w:val="en-US"/>
        </w:rPr>
        <w:t>5 ml</w:t>
      </w:r>
      <w:r>
        <w:rPr>
          <w:rFonts w:ascii="TimesNewRomanPSMT" w:hAnsi="TimesNewRomanPSMT"/>
          <w:sz w:val="20"/>
          <w:szCs w:val="20"/>
          <w:lang w:val="en-US"/>
        </w:rPr>
        <w:t>.</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1.3 Recommended use of the chemical and restrictions on use: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Aromatherapy, Natural Perfumery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 Supplier’s details: </w:t>
      </w:r>
    </w:p>
    <w:p w:rsidR="00C2170E" w:rsidRDefault="00C2170E" w:rsidP="00C2170E">
      <w:pPr>
        <w:spacing w:before="100" w:beforeAutospacing="1" w:after="100" w:afterAutospacing="1"/>
        <w:rPr>
          <w:color w:val="00007F"/>
          <w:sz w:val="20"/>
          <w:szCs w:val="20"/>
          <w:lang w:val="en-US"/>
        </w:rPr>
      </w:pPr>
      <w:r w:rsidRPr="001D71DB">
        <w:rPr>
          <w:rFonts w:ascii="TimesNewRomanPSMT" w:hAnsi="TimesNewRomanPSMT"/>
          <w:sz w:val="20"/>
          <w:szCs w:val="20"/>
          <w:lang w:val="en-US"/>
        </w:rPr>
        <w:t xml:space="preserve">Company name: </w:t>
      </w:r>
      <w:r w:rsidRPr="001D71DB">
        <w:rPr>
          <w:sz w:val="20"/>
          <w:szCs w:val="20"/>
          <w:lang w:val="en-US"/>
        </w:rPr>
        <w:t>Hamid Masoudi -</w:t>
      </w:r>
      <w:r>
        <w:rPr>
          <w:sz w:val="20"/>
          <w:szCs w:val="20"/>
          <w:lang w:val="en-US"/>
        </w:rPr>
        <w:t xml:space="preserve"> </w:t>
      </w:r>
      <w:proofErr w:type="gramStart"/>
      <w:r w:rsidRPr="001D71DB">
        <w:rPr>
          <w:sz w:val="20"/>
          <w:szCs w:val="20"/>
          <w:lang w:val="en-US"/>
        </w:rPr>
        <w:t>D.I</w:t>
      </w:r>
      <w:proofErr w:type="gramEnd"/>
      <w:r w:rsidRPr="001D71DB">
        <w:rPr>
          <w:rFonts w:ascii="TimesNewRomanPSMT" w:hAnsi="TimesNewRomanPSMT"/>
          <w:sz w:val="20"/>
          <w:szCs w:val="20"/>
          <w:lang w:val="en-US"/>
        </w:rPr>
        <w:br/>
        <w:t xml:space="preserve">Company address: Via </w:t>
      </w:r>
      <w:proofErr w:type="spellStart"/>
      <w:r w:rsidRPr="001D71DB">
        <w:rPr>
          <w:rFonts w:ascii="TimesNewRomanPSMT" w:hAnsi="TimesNewRomanPSMT"/>
          <w:sz w:val="20"/>
          <w:szCs w:val="20"/>
          <w:lang w:val="en-US"/>
        </w:rPr>
        <w:t>Capolago</w:t>
      </w:r>
      <w:proofErr w:type="spellEnd"/>
      <w:r w:rsidRPr="001D71DB">
        <w:rPr>
          <w:rFonts w:ascii="TimesNewRomanPSMT" w:hAnsi="TimesNewRomanPSMT"/>
          <w:sz w:val="20"/>
          <w:szCs w:val="20"/>
          <w:lang w:val="en-US"/>
        </w:rPr>
        <w:t xml:space="preserve"> 1, 20133 Milan, Italy. Company contact: +39-</w:t>
      </w:r>
      <w:r w:rsidRPr="001D71DB">
        <w:rPr>
          <w:sz w:val="20"/>
          <w:szCs w:val="20"/>
          <w:lang w:val="en-US"/>
        </w:rPr>
        <w:t xml:space="preserve">3200464074 </w:t>
      </w:r>
      <w:r w:rsidRPr="001D71DB">
        <w:rPr>
          <w:rFonts w:ascii="TimesNewRomanPSMT" w:hAnsi="TimesNewRomanPSMT"/>
          <w:color w:val="00007F"/>
          <w:sz w:val="20"/>
          <w:szCs w:val="20"/>
          <w:lang w:val="en-US"/>
        </w:rPr>
        <w:t>www.</w:t>
      </w:r>
      <w:r w:rsidRPr="001D71DB">
        <w:rPr>
          <w:color w:val="00007F"/>
          <w:sz w:val="20"/>
          <w:szCs w:val="20"/>
          <w:lang w:val="en-US"/>
        </w:rPr>
        <w:t xml:space="preserve">amyron.it </w:t>
      </w:r>
    </w:p>
    <w:p w:rsidR="00C2170E" w:rsidRPr="00656D92" w:rsidRDefault="00C2170E" w:rsidP="00C2170E">
      <w:pPr>
        <w:spacing w:before="100" w:beforeAutospacing="1" w:after="100" w:afterAutospacing="1"/>
        <w:rPr>
          <w:lang w:val="en-US"/>
        </w:rPr>
      </w:pPr>
      <w:r w:rsidRPr="00656D92">
        <w:rPr>
          <w:sz w:val="20"/>
          <w:szCs w:val="20"/>
          <w:lang w:val="en-US"/>
        </w:rPr>
        <w:t>sales</w:t>
      </w:r>
      <w:r w:rsidRPr="00656D92">
        <w:rPr>
          <w:rFonts w:ascii="TimesNewRomanPSMT" w:hAnsi="TimesNewRomanPSMT"/>
          <w:sz w:val="20"/>
          <w:szCs w:val="20"/>
          <w:lang w:val="en-US"/>
        </w:rPr>
        <w:t>@</w:t>
      </w:r>
      <w:r w:rsidRPr="00656D92">
        <w:rPr>
          <w:sz w:val="20"/>
          <w:szCs w:val="20"/>
          <w:lang w:val="en-US"/>
        </w:rPr>
        <w:t>amyron</w:t>
      </w:r>
      <w:r w:rsidRPr="00656D92">
        <w:rPr>
          <w:rFonts w:ascii="TimesNewRomanPSMT" w:hAnsi="TimesNewRomanPSMT"/>
          <w:sz w:val="20"/>
          <w:szCs w:val="20"/>
          <w:lang w:val="en-US"/>
        </w:rPr>
        <w:t xml:space="preserve">.it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2: HAZARD(S) IDENTIFICATION </w:t>
      </w:r>
    </w:p>
    <w:p w:rsidR="00C2170E" w:rsidRDefault="00C2170E" w:rsidP="00C2170E">
      <w:pPr>
        <w:spacing w:before="100" w:beforeAutospacing="1" w:after="100" w:afterAutospacing="1"/>
        <w:rPr>
          <w:rFonts w:ascii="TimesNewRomanPS" w:hAnsi="TimesNewRomanPS"/>
          <w:b/>
          <w:bCs/>
          <w:sz w:val="20"/>
          <w:szCs w:val="20"/>
          <w:lang w:val="en-US"/>
        </w:rPr>
      </w:pPr>
      <w:r w:rsidRPr="001D71DB">
        <w:rPr>
          <w:rFonts w:ascii="TimesNewRomanPS" w:hAnsi="TimesNewRomanPS"/>
          <w:b/>
          <w:bCs/>
          <w:sz w:val="20"/>
          <w:szCs w:val="20"/>
          <w:lang w:val="en-US"/>
        </w:rPr>
        <w:t xml:space="preserve">2.1 Classification of the substance or mixture </w:t>
      </w:r>
    </w:p>
    <w:p w:rsidR="00C2170E" w:rsidRPr="00B61C74" w:rsidRDefault="00C2170E" w:rsidP="00C2170E">
      <w:pPr>
        <w:pStyle w:val="NormaleWeb"/>
        <w:rPr>
          <w:lang w:val="en-US"/>
        </w:rPr>
      </w:pPr>
      <w:r w:rsidRPr="00B61C74">
        <w:rPr>
          <w:rFonts w:ascii="TimesNewRomanPSMT" w:hAnsi="TimesNewRomanPSMT"/>
          <w:sz w:val="20"/>
          <w:szCs w:val="20"/>
          <w:lang w:val="en-US"/>
        </w:rPr>
        <w:t xml:space="preserve">N/A </w:t>
      </w:r>
    </w:p>
    <w:p w:rsidR="00C2170E" w:rsidRDefault="00C2170E" w:rsidP="00C2170E">
      <w:pPr>
        <w:spacing w:before="100" w:beforeAutospacing="1" w:after="100" w:afterAutospacing="1"/>
        <w:rPr>
          <w:rFonts w:ascii="TimesNewRomanPS" w:hAnsi="TimesNewRomanPS"/>
          <w:b/>
          <w:bCs/>
          <w:sz w:val="20"/>
          <w:szCs w:val="20"/>
          <w:lang w:val="en-US"/>
        </w:rPr>
      </w:pPr>
      <w:r w:rsidRPr="001D71DB">
        <w:rPr>
          <w:rFonts w:ascii="TimesNewRomanPS" w:hAnsi="TimesNewRomanPS"/>
          <w:b/>
          <w:bCs/>
          <w:sz w:val="20"/>
          <w:szCs w:val="20"/>
          <w:lang w:val="en-US"/>
        </w:rPr>
        <w:t xml:space="preserve">2.2 GHS label elements, including precautionary statements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47"/>
        <w:gridCol w:w="1735"/>
        <w:gridCol w:w="1464"/>
        <w:gridCol w:w="2702"/>
      </w:tblGrid>
      <w:tr w:rsidR="00C2170E" w:rsidRPr="001D71DB" w:rsidTr="006721C1">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pPr>
            <w:proofErr w:type="spellStart"/>
            <w:r w:rsidRPr="001D71DB">
              <w:rPr>
                <w:rFonts w:ascii="TimesNewRomanPSMT" w:hAnsi="TimesNewRomanPSMT"/>
                <w:sz w:val="20"/>
                <w:szCs w:val="20"/>
              </w:rPr>
              <w:t>Signal</w:t>
            </w:r>
            <w:proofErr w:type="spellEnd"/>
            <w:r w:rsidRPr="001D71DB">
              <w:rPr>
                <w:rFonts w:ascii="TimesNewRomanPSMT" w:hAnsi="TimesNewRomanPSMT"/>
                <w:sz w:val="20"/>
                <w:szCs w:val="20"/>
              </w:rPr>
              <w:t xml:space="preserve"> Word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pPr>
            <w:proofErr w:type="spellStart"/>
            <w:r w:rsidRPr="001D71DB">
              <w:rPr>
                <w:rFonts w:ascii="TimesNewRomanPSMT" w:hAnsi="TimesNewRomanPSMT"/>
                <w:sz w:val="20"/>
                <w:szCs w:val="20"/>
              </w:rPr>
              <w:t>Hazardous</w:t>
            </w:r>
            <w:proofErr w:type="spellEnd"/>
            <w:r w:rsidRPr="001D71DB">
              <w:rPr>
                <w:rFonts w:ascii="TimesNewRomanPSMT" w:hAnsi="TimesNewRomanPSMT"/>
                <w:sz w:val="20"/>
                <w:szCs w:val="20"/>
              </w:rPr>
              <w:t xml:space="preserve"> Statement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pPr>
            <w:proofErr w:type="spellStart"/>
            <w:r w:rsidRPr="001D71DB">
              <w:rPr>
                <w:rFonts w:ascii="TimesNewRomanPSMT" w:hAnsi="TimesNewRomanPSMT"/>
                <w:sz w:val="20"/>
                <w:szCs w:val="20"/>
              </w:rPr>
              <w:t>Precautionary</w:t>
            </w:r>
            <w:proofErr w:type="spellEnd"/>
            <w:r w:rsidRPr="001D71DB">
              <w:rPr>
                <w:rFonts w:ascii="TimesNewRomanPSMT" w:hAnsi="TimesNewRomanPSMT"/>
                <w:sz w:val="20"/>
                <w:szCs w:val="20"/>
              </w:rPr>
              <w:t xml:space="preserve"> </w:t>
            </w:r>
          </w:p>
        </w:tc>
        <w:tc>
          <w:tcPr>
            <w:tcW w:w="27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pPr>
            <w:r w:rsidRPr="001D71DB">
              <w:rPr>
                <w:rFonts w:ascii="TimesNewRomanPSMT" w:hAnsi="TimesNewRomanPSMT"/>
                <w:sz w:val="20"/>
                <w:szCs w:val="20"/>
              </w:rPr>
              <w:t xml:space="preserve">Statement Hazard </w:t>
            </w:r>
          </w:p>
        </w:tc>
      </w:tr>
      <w:tr w:rsidR="00C2170E" w:rsidRPr="001D71DB" w:rsidTr="006721C1">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jc w:val="both"/>
              <w:rPr>
                <w:sz w:val="20"/>
                <w:szCs w:val="20"/>
              </w:rPr>
            </w:pPr>
            <w:r w:rsidRPr="001D71DB">
              <w:rPr>
                <w:rFonts w:ascii="TimesNewRomanPSMT" w:hAnsi="TimesNewRomanPSMT"/>
                <w:sz w:val="20"/>
                <w:szCs w:val="20"/>
              </w:rPr>
              <w:t>N/A</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jc w:val="both"/>
              <w:rPr>
                <w:sz w:val="20"/>
                <w:szCs w:val="20"/>
              </w:rPr>
            </w:pPr>
            <w:r>
              <w:rPr>
                <w:rFonts w:ascii="TimesNewRomanPSMT" w:hAnsi="TimesNewRomanPSMT"/>
                <w:sz w:val="20"/>
                <w:szCs w:val="20"/>
              </w:rPr>
              <w:t>H315, H317</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B227C6" w:rsidRDefault="00C2170E" w:rsidP="006721C1">
            <w:pPr>
              <w:pStyle w:val="NormaleWeb"/>
              <w:shd w:val="clear" w:color="auto" w:fill="FFFFFF"/>
              <w:jc w:val="both"/>
              <w:rPr>
                <w:lang w:val="en-US"/>
              </w:rPr>
            </w:pPr>
            <w:r>
              <w:rPr>
                <w:rFonts w:ascii="TimesNewRomanPSMT" w:hAnsi="TimesNewRomanPSMT"/>
                <w:sz w:val="20"/>
                <w:szCs w:val="20"/>
                <w:lang w:val="en-US"/>
              </w:rPr>
              <w:t>P233, P240, P280</w:t>
            </w:r>
          </w:p>
        </w:tc>
        <w:tc>
          <w:tcPr>
            <w:tcW w:w="27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2170E" w:rsidRPr="001D71DB" w:rsidRDefault="00C2170E" w:rsidP="006721C1">
            <w:pPr>
              <w:spacing w:before="100" w:beforeAutospacing="1" w:after="100" w:afterAutospacing="1"/>
              <w:jc w:val="both"/>
              <w:rPr>
                <w:sz w:val="20"/>
                <w:szCs w:val="20"/>
              </w:rPr>
            </w:pPr>
            <w:r>
              <w:rPr>
                <w:rFonts w:ascii="TimesNewRomanPSMT" w:hAnsi="TimesNewRomanPSMT"/>
                <w:sz w:val="20"/>
                <w:szCs w:val="20"/>
              </w:rPr>
              <w:t>H315, H317</w:t>
            </w:r>
          </w:p>
        </w:tc>
      </w:tr>
    </w:tbl>
    <w:p w:rsidR="00C2170E" w:rsidRPr="001D71DB" w:rsidRDefault="00C2170E" w:rsidP="00C2170E">
      <w:pPr>
        <w:spacing w:before="100" w:beforeAutospacing="1" w:after="100" w:afterAutospacing="1"/>
        <w:rPr>
          <w:lang w:val="en-US"/>
        </w:rPr>
      </w:pPr>
    </w:p>
    <w:p w:rsidR="00C2170E" w:rsidRDefault="00C2170E" w:rsidP="00C2170E">
      <w:pPr>
        <w:spacing w:before="100" w:beforeAutospacing="1" w:after="100" w:afterAutospacing="1"/>
        <w:rPr>
          <w:rFonts w:ascii="TimesNewRomanPS" w:hAnsi="TimesNewRomanPS"/>
          <w:b/>
          <w:bCs/>
          <w:sz w:val="20"/>
          <w:szCs w:val="20"/>
          <w:lang w:val="en-US"/>
        </w:rPr>
      </w:pPr>
    </w:p>
    <w:p w:rsidR="00C2170E" w:rsidRDefault="00C2170E" w:rsidP="00C2170E">
      <w:pPr>
        <w:spacing w:before="100" w:beforeAutospacing="1" w:after="100" w:afterAutospacing="1"/>
        <w:rPr>
          <w:rFonts w:ascii="TimesNewRomanPS" w:hAnsi="TimesNewRomanPS"/>
          <w:b/>
          <w:bCs/>
          <w:sz w:val="20"/>
          <w:szCs w:val="20"/>
          <w:lang w:val="en-US"/>
        </w:rPr>
      </w:pPr>
      <w:r w:rsidRPr="001D71DB">
        <w:rPr>
          <w:rFonts w:ascii="TimesNewRomanPS" w:hAnsi="TimesNewRomanPS"/>
          <w:b/>
          <w:bCs/>
          <w:sz w:val="20"/>
          <w:szCs w:val="20"/>
          <w:lang w:val="en-US"/>
        </w:rPr>
        <w:t xml:space="preserve">2.3 Other hazards that do not result in classification </w:t>
      </w:r>
    </w:p>
    <w:p w:rsidR="00C2170E" w:rsidRPr="006421BF" w:rsidRDefault="00C2170E" w:rsidP="00C2170E">
      <w:pPr>
        <w:numPr>
          <w:ilvl w:val="0"/>
          <w:numId w:val="2"/>
        </w:numPr>
        <w:spacing w:before="100" w:beforeAutospacing="1" w:after="100" w:afterAutospacing="1"/>
      </w:pPr>
      <w:r w:rsidRPr="006421BF">
        <w:t xml:space="preserve">Hazard </w:t>
      </w:r>
      <w:proofErr w:type="spellStart"/>
      <w:r w:rsidRPr="006421BF">
        <w:t>Statements</w:t>
      </w:r>
      <w:proofErr w:type="spellEnd"/>
      <w:r w:rsidRPr="006421BF">
        <w:t>:</w:t>
      </w:r>
    </w:p>
    <w:p w:rsidR="00C2170E" w:rsidRPr="006421BF" w:rsidRDefault="00C2170E" w:rsidP="00C2170E">
      <w:pPr>
        <w:numPr>
          <w:ilvl w:val="1"/>
          <w:numId w:val="2"/>
        </w:numPr>
        <w:spacing w:before="100" w:beforeAutospacing="1" w:after="100" w:afterAutospacing="1"/>
      </w:pPr>
      <w:r w:rsidRPr="006421BF">
        <w:t xml:space="preserve">H315: </w:t>
      </w:r>
      <w:proofErr w:type="spellStart"/>
      <w:r w:rsidRPr="006421BF">
        <w:t>Causes</w:t>
      </w:r>
      <w:proofErr w:type="spellEnd"/>
      <w:r w:rsidRPr="006421BF">
        <w:t xml:space="preserve"> </w:t>
      </w:r>
      <w:proofErr w:type="spellStart"/>
      <w:r w:rsidRPr="006421BF">
        <w:t>skin</w:t>
      </w:r>
      <w:proofErr w:type="spellEnd"/>
      <w:r w:rsidRPr="006421BF">
        <w:t xml:space="preserve"> </w:t>
      </w:r>
      <w:proofErr w:type="spellStart"/>
      <w:r w:rsidRPr="006421BF">
        <w:t>irritation</w:t>
      </w:r>
      <w:proofErr w:type="spellEnd"/>
    </w:p>
    <w:p w:rsidR="00C2170E" w:rsidRPr="006421BF" w:rsidRDefault="00C2170E" w:rsidP="00C2170E">
      <w:pPr>
        <w:numPr>
          <w:ilvl w:val="1"/>
          <w:numId w:val="2"/>
        </w:numPr>
        <w:spacing w:before="100" w:beforeAutospacing="1" w:after="100" w:afterAutospacing="1"/>
        <w:rPr>
          <w:lang w:val="en-US"/>
        </w:rPr>
      </w:pPr>
      <w:r w:rsidRPr="006421BF">
        <w:rPr>
          <w:lang w:val="en-US"/>
        </w:rPr>
        <w:t>H317: May cause an allergic skin reaction</w:t>
      </w:r>
    </w:p>
    <w:p w:rsidR="00C2170E" w:rsidRPr="006421BF" w:rsidRDefault="00C2170E" w:rsidP="00C2170E">
      <w:pPr>
        <w:numPr>
          <w:ilvl w:val="0"/>
          <w:numId w:val="2"/>
        </w:numPr>
        <w:spacing w:before="100" w:beforeAutospacing="1" w:after="100" w:afterAutospacing="1"/>
      </w:pPr>
      <w:proofErr w:type="spellStart"/>
      <w:r w:rsidRPr="006421BF">
        <w:t>Precautionary</w:t>
      </w:r>
      <w:proofErr w:type="spellEnd"/>
      <w:r w:rsidRPr="006421BF">
        <w:t xml:space="preserve"> </w:t>
      </w:r>
      <w:proofErr w:type="spellStart"/>
      <w:r w:rsidRPr="006421BF">
        <w:t>Statements</w:t>
      </w:r>
      <w:proofErr w:type="spellEnd"/>
      <w:r w:rsidRPr="006421BF">
        <w:t>:</w:t>
      </w:r>
    </w:p>
    <w:p w:rsidR="00C2170E" w:rsidRPr="006421BF" w:rsidRDefault="00C2170E" w:rsidP="00C2170E">
      <w:pPr>
        <w:numPr>
          <w:ilvl w:val="1"/>
          <w:numId w:val="2"/>
        </w:numPr>
        <w:spacing w:before="100" w:beforeAutospacing="1" w:after="100" w:afterAutospacing="1"/>
        <w:rPr>
          <w:lang w:val="en-US"/>
        </w:rPr>
      </w:pPr>
      <w:r w:rsidRPr="006421BF">
        <w:rPr>
          <w:lang w:val="en-US"/>
        </w:rPr>
        <w:t>P233: Keep container tightly closed.</w:t>
      </w:r>
    </w:p>
    <w:p w:rsidR="00C2170E" w:rsidRPr="006421BF" w:rsidRDefault="00C2170E" w:rsidP="00C2170E">
      <w:pPr>
        <w:numPr>
          <w:ilvl w:val="1"/>
          <w:numId w:val="2"/>
        </w:numPr>
        <w:spacing w:before="100" w:beforeAutospacing="1" w:after="100" w:afterAutospacing="1"/>
        <w:rPr>
          <w:lang w:val="en-US"/>
        </w:rPr>
      </w:pPr>
      <w:r w:rsidRPr="006421BF">
        <w:rPr>
          <w:lang w:val="en-US"/>
        </w:rPr>
        <w:t>P240: Ground/bond container and receiving equipment.</w:t>
      </w:r>
    </w:p>
    <w:p w:rsidR="00C2170E" w:rsidRDefault="00C2170E" w:rsidP="00C2170E">
      <w:pPr>
        <w:numPr>
          <w:ilvl w:val="1"/>
          <w:numId w:val="2"/>
        </w:numPr>
        <w:spacing w:before="100" w:beforeAutospacing="1" w:after="100" w:afterAutospacing="1"/>
        <w:rPr>
          <w:lang w:val="en-US"/>
        </w:rPr>
      </w:pPr>
      <w:r w:rsidRPr="006421BF">
        <w:rPr>
          <w:lang w:val="en-US"/>
        </w:rPr>
        <w:t>P280: Wear protective gloves/protective clothing/eye protection/face protection.</w:t>
      </w:r>
    </w:p>
    <w:p w:rsidR="00C2170E" w:rsidRDefault="00C2170E" w:rsidP="00C2170E">
      <w:pPr>
        <w:spacing w:before="100" w:beforeAutospacing="1" w:after="100" w:afterAutospacing="1"/>
        <w:rPr>
          <w:rFonts w:ascii="TimesNewRomanPS" w:hAnsi="TimesNewRomanPS"/>
          <w:b/>
          <w:bCs/>
          <w:sz w:val="20"/>
          <w:szCs w:val="20"/>
          <w:shd w:val="clear" w:color="auto" w:fill="8CA8D8"/>
          <w:lang w:val="en-US"/>
        </w:rPr>
      </w:pPr>
      <w:r w:rsidRPr="001D71DB">
        <w:rPr>
          <w:rFonts w:ascii="TimesNewRomanPS" w:hAnsi="TimesNewRomanPS"/>
          <w:b/>
          <w:bCs/>
          <w:sz w:val="20"/>
          <w:szCs w:val="20"/>
          <w:shd w:val="clear" w:color="auto" w:fill="8CA8D8"/>
          <w:lang w:val="en-US"/>
        </w:rPr>
        <w:t xml:space="preserve">SECTION 3: COMPOSITION / INFORMATION ON INGREDIENTS </w:t>
      </w:r>
    </w:p>
    <w:p w:rsidR="00C2170E" w:rsidRDefault="00C2170E" w:rsidP="00C2170E">
      <w:pPr>
        <w:spacing w:before="100" w:beforeAutospacing="1" w:after="100" w:afterAutospacing="1"/>
        <w:rPr>
          <w:rFonts w:ascii="TimesNewRomanPS" w:hAnsi="TimesNewRomanPS"/>
          <w:b/>
          <w:bCs/>
          <w:sz w:val="20"/>
          <w:szCs w:val="20"/>
          <w:shd w:val="clear" w:color="auto" w:fill="8CA8D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2"/>
        <w:gridCol w:w="1440"/>
        <w:gridCol w:w="2407"/>
        <w:gridCol w:w="2148"/>
      </w:tblGrid>
      <w:tr w:rsidR="00C2170E" w:rsidTr="00C2170E">
        <w:trPr>
          <w:tblHeader/>
          <w:tblCellSpacing w:w="15" w:type="dxa"/>
        </w:trPr>
        <w:tc>
          <w:tcPr>
            <w:tcW w:w="0" w:type="auto"/>
            <w:vAlign w:val="center"/>
            <w:hideMark/>
          </w:tcPr>
          <w:p w:rsidR="00C2170E" w:rsidRDefault="00C2170E">
            <w:pPr>
              <w:jc w:val="center"/>
              <w:rPr>
                <w:b/>
                <w:bCs/>
              </w:rPr>
            </w:pPr>
            <w:r>
              <w:rPr>
                <w:b/>
                <w:bCs/>
              </w:rPr>
              <w:t>Nome Chimico</w:t>
            </w:r>
          </w:p>
        </w:tc>
        <w:tc>
          <w:tcPr>
            <w:tcW w:w="0" w:type="auto"/>
            <w:vAlign w:val="center"/>
            <w:hideMark/>
          </w:tcPr>
          <w:p w:rsidR="00C2170E" w:rsidRDefault="00C2170E">
            <w:pPr>
              <w:jc w:val="center"/>
              <w:rPr>
                <w:b/>
                <w:bCs/>
              </w:rPr>
            </w:pPr>
            <w:r>
              <w:rPr>
                <w:b/>
                <w:bCs/>
              </w:rPr>
              <w:t>Numero CAS</w:t>
            </w:r>
          </w:p>
        </w:tc>
        <w:tc>
          <w:tcPr>
            <w:tcW w:w="0" w:type="auto"/>
            <w:vAlign w:val="center"/>
            <w:hideMark/>
          </w:tcPr>
          <w:p w:rsidR="00C2170E" w:rsidRDefault="00C2170E">
            <w:pPr>
              <w:jc w:val="center"/>
              <w:rPr>
                <w:b/>
                <w:bCs/>
              </w:rPr>
            </w:pPr>
            <w:r>
              <w:rPr>
                <w:b/>
                <w:bCs/>
              </w:rPr>
              <w:t>Numero CE (EINECS)</w:t>
            </w:r>
          </w:p>
        </w:tc>
        <w:tc>
          <w:tcPr>
            <w:tcW w:w="0" w:type="auto"/>
            <w:vAlign w:val="center"/>
            <w:hideMark/>
          </w:tcPr>
          <w:p w:rsidR="00C2170E" w:rsidRDefault="00C2170E">
            <w:pPr>
              <w:jc w:val="center"/>
              <w:rPr>
                <w:b/>
                <w:bCs/>
              </w:rPr>
            </w:pPr>
            <w:r>
              <w:rPr>
                <w:b/>
                <w:bCs/>
              </w:rPr>
              <w:t>Concentrazione (%)</w:t>
            </w:r>
          </w:p>
        </w:tc>
      </w:tr>
      <w:tr w:rsidR="00C2170E" w:rsidTr="00C2170E">
        <w:trPr>
          <w:tblCellSpacing w:w="15" w:type="dxa"/>
        </w:trPr>
        <w:tc>
          <w:tcPr>
            <w:tcW w:w="0" w:type="auto"/>
            <w:vAlign w:val="center"/>
            <w:hideMark/>
          </w:tcPr>
          <w:p w:rsidR="00C2170E" w:rsidRDefault="00C2170E">
            <w:proofErr w:type="spellStart"/>
            <w:r>
              <w:t>Citronellolo</w:t>
            </w:r>
            <w:proofErr w:type="spellEnd"/>
          </w:p>
        </w:tc>
        <w:tc>
          <w:tcPr>
            <w:tcW w:w="0" w:type="auto"/>
            <w:vAlign w:val="center"/>
            <w:hideMark/>
          </w:tcPr>
          <w:p w:rsidR="00C2170E" w:rsidRDefault="00C2170E">
            <w:r>
              <w:t>106-22-9</w:t>
            </w:r>
          </w:p>
        </w:tc>
        <w:tc>
          <w:tcPr>
            <w:tcW w:w="0" w:type="auto"/>
            <w:vAlign w:val="center"/>
            <w:hideMark/>
          </w:tcPr>
          <w:p w:rsidR="00C2170E" w:rsidRDefault="00C2170E">
            <w:r>
              <w:t>203-375-0</w:t>
            </w:r>
          </w:p>
        </w:tc>
        <w:tc>
          <w:tcPr>
            <w:tcW w:w="0" w:type="auto"/>
            <w:vAlign w:val="center"/>
            <w:hideMark/>
          </w:tcPr>
          <w:p w:rsidR="00C2170E" w:rsidRDefault="00C2170E">
            <w:r>
              <w:t>25 – 35 %</w:t>
            </w:r>
          </w:p>
        </w:tc>
      </w:tr>
      <w:tr w:rsidR="00C2170E" w:rsidTr="00C2170E">
        <w:trPr>
          <w:tblCellSpacing w:w="15" w:type="dxa"/>
        </w:trPr>
        <w:tc>
          <w:tcPr>
            <w:tcW w:w="0" w:type="auto"/>
            <w:vAlign w:val="center"/>
            <w:hideMark/>
          </w:tcPr>
          <w:p w:rsidR="00C2170E" w:rsidRDefault="00C2170E">
            <w:r>
              <w:t>Geraniolo</w:t>
            </w:r>
          </w:p>
        </w:tc>
        <w:tc>
          <w:tcPr>
            <w:tcW w:w="0" w:type="auto"/>
            <w:vAlign w:val="center"/>
            <w:hideMark/>
          </w:tcPr>
          <w:p w:rsidR="00C2170E" w:rsidRDefault="00C2170E">
            <w:r>
              <w:t>106-24-1</w:t>
            </w:r>
          </w:p>
        </w:tc>
        <w:tc>
          <w:tcPr>
            <w:tcW w:w="0" w:type="auto"/>
            <w:vAlign w:val="center"/>
            <w:hideMark/>
          </w:tcPr>
          <w:p w:rsidR="00C2170E" w:rsidRDefault="00C2170E">
            <w:r>
              <w:t>203-377-1</w:t>
            </w:r>
          </w:p>
        </w:tc>
        <w:tc>
          <w:tcPr>
            <w:tcW w:w="0" w:type="auto"/>
            <w:vAlign w:val="center"/>
            <w:hideMark/>
          </w:tcPr>
          <w:p w:rsidR="00C2170E" w:rsidRDefault="00C2170E">
            <w:r>
              <w:t>15 – 25 %</w:t>
            </w:r>
          </w:p>
        </w:tc>
      </w:tr>
      <w:tr w:rsidR="00C2170E" w:rsidTr="00C2170E">
        <w:trPr>
          <w:tblCellSpacing w:w="15" w:type="dxa"/>
        </w:trPr>
        <w:tc>
          <w:tcPr>
            <w:tcW w:w="0" w:type="auto"/>
            <w:vAlign w:val="center"/>
            <w:hideMark/>
          </w:tcPr>
          <w:p w:rsidR="00C2170E" w:rsidRDefault="00C2170E">
            <w:proofErr w:type="spellStart"/>
            <w:r>
              <w:t>Linalolo</w:t>
            </w:r>
            <w:proofErr w:type="spellEnd"/>
          </w:p>
        </w:tc>
        <w:tc>
          <w:tcPr>
            <w:tcW w:w="0" w:type="auto"/>
            <w:vAlign w:val="center"/>
            <w:hideMark/>
          </w:tcPr>
          <w:p w:rsidR="00C2170E" w:rsidRDefault="00C2170E">
            <w:r>
              <w:t>78-70-6</w:t>
            </w:r>
          </w:p>
        </w:tc>
        <w:tc>
          <w:tcPr>
            <w:tcW w:w="0" w:type="auto"/>
            <w:vAlign w:val="center"/>
            <w:hideMark/>
          </w:tcPr>
          <w:p w:rsidR="00C2170E" w:rsidRDefault="00C2170E">
            <w:r>
              <w:t>201-134-4</w:t>
            </w:r>
          </w:p>
        </w:tc>
        <w:tc>
          <w:tcPr>
            <w:tcW w:w="0" w:type="auto"/>
            <w:vAlign w:val="center"/>
            <w:hideMark/>
          </w:tcPr>
          <w:p w:rsidR="00C2170E" w:rsidRDefault="00C2170E">
            <w:r>
              <w:t>5 – 15 %</w:t>
            </w:r>
          </w:p>
        </w:tc>
      </w:tr>
      <w:tr w:rsidR="00C2170E" w:rsidTr="00C2170E">
        <w:trPr>
          <w:tblCellSpacing w:w="15" w:type="dxa"/>
        </w:trPr>
        <w:tc>
          <w:tcPr>
            <w:tcW w:w="0" w:type="auto"/>
            <w:vAlign w:val="center"/>
            <w:hideMark/>
          </w:tcPr>
          <w:p w:rsidR="00C2170E" w:rsidRDefault="00C2170E">
            <w:proofErr w:type="spellStart"/>
            <w:r>
              <w:t>Isomenthone</w:t>
            </w:r>
            <w:proofErr w:type="spellEnd"/>
          </w:p>
        </w:tc>
        <w:tc>
          <w:tcPr>
            <w:tcW w:w="0" w:type="auto"/>
            <w:vAlign w:val="center"/>
            <w:hideMark/>
          </w:tcPr>
          <w:p w:rsidR="00C2170E" w:rsidRDefault="00C2170E">
            <w:r>
              <w:t>491-07-6</w:t>
            </w:r>
          </w:p>
        </w:tc>
        <w:tc>
          <w:tcPr>
            <w:tcW w:w="0" w:type="auto"/>
            <w:vAlign w:val="center"/>
            <w:hideMark/>
          </w:tcPr>
          <w:p w:rsidR="00C2170E" w:rsidRDefault="00C2170E">
            <w:r>
              <w:t>207-770-7</w:t>
            </w:r>
          </w:p>
        </w:tc>
        <w:tc>
          <w:tcPr>
            <w:tcW w:w="0" w:type="auto"/>
            <w:vAlign w:val="center"/>
            <w:hideMark/>
          </w:tcPr>
          <w:p w:rsidR="00C2170E" w:rsidRDefault="00C2170E">
            <w:r>
              <w:t>4 – 8 %</w:t>
            </w:r>
          </w:p>
        </w:tc>
      </w:tr>
      <w:tr w:rsidR="00C2170E" w:rsidTr="00C2170E">
        <w:trPr>
          <w:tblCellSpacing w:w="15" w:type="dxa"/>
        </w:trPr>
        <w:tc>
          <w:tcPr>
            <w:tcW w:w="0" w:type="auto"/>
            <w:vAlign w:val="center"/>
            <w:hideMark/>
          </w:tcPr>
          <w:p w:rsidR="00C2170E" w:rsidRDefault="00C2170E">
            <w:r>
              <w:t xml:space="preserve">Formiato di </w:t>
            </w:r>
            <w:proofErr w:type="spellStart"/>
            <w:r>
              <w:t>citronellile</w:t>
            </w:r>
            <w:proofErr w:type="spellEnd"/>
          </w:p>
        </w:tc>
        <w:tc>
          <w:tcPr>
            <w:tcW w:w="0" w:type="auto"/>
            <w:vAlign w:val="center"/>
            <w:hideMark/>
          </w:tcPr>
          <w:p w:rsidR="00C2170E" w:rsidRDefault="00C2170E">
            <w:r>
              <w:t>105-85-1</w:t>
            </w:r>
          </w:p>
        </w:tc>
        <w:tc>
          <w:tcPr>
            <w:tcW w:w="0" w:type="auto"/>
            <w:vAlign w:val="center"/>
            <w:hideMark/>
          </w:tcPr>
          <w:p w:rsidR="00C2170E" w:rsidRDefault="00C2170E">
            <w:r>
              <w:t>203-328-4</w:t>
            </w:r>
          </w:p>
        </w:tc>
        <w:tc>
          <w:tcPr>
            <w:tcW w:w="0" w:type="auto"/>
            <w:vAlign w:val="center"/>
            <w:hideMark/>
          </w:tcPr>
          <w:p w:rsidR="00C2170E" w:rsidRDefault="00C2170E">
            <w:r>
              <w:t>3 – 6 %</w:t>
            </w:r>
          </w:p>
        </w:tc>
      </w:tr>
    </w:tbl>
    <w:p w:rsidR="00C2170E" w:rsidRPr="00D50909" w:rsidRDefault="00C2170E" w:rsidP="00C2170E">
      <w:pPr>
        <w:spacing w:before="100" w:beforeAutospacing="1" w:after="100" w:afterAutospacing="1"/>
      </w:pPr>
    </w:p>
    <w:p w:rsidR="00C2170E" w:rsidRPr="001D71DB" w:rsidRDefault="00C2170E" w:rsidP="00C2170E">
      <w:pPr>
        <w:rPr>
          <w:vanish/>
        </w:rPr>
      </w:pP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4: </w:t>
      </w:r>
      <w:r w:rsidRPr="001D71DB">
        <w:rPr>
          <w:rFonts w:ascii="TimesNewRomanPSMT" w:hAnsi="TimesNewRomanPSMT"/>
          <w:sz w:val="20"/>
          <w:szCs w:val="20"/>
          <w:shd w:val="clear" w:color="auto" w:fill="8CA8D8"/>
          <w:lang w:val="en-US"/>
        </w:rPr>
        <w:t xml:space="preserve">FIRST-AID MEASURES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4.1 Description of necessary first-aid measures (of Substance)</w:t>
      </w:r>
      <w:r w:rsidRPr="001D71DB">
        <w:rPr>
          <w:rFonts w:ascii="TimesNewRomanPS" w:hAnsi="TimesNewRomanPS"/>
          <w:b/>
          <w:bCs/>
          <w:sz w:val="20"/>
          <w:szCs w:val="20"/>
          <w:lang w:val="en-US"/>
        </w:rPr>
        <w:br/>
        <w:t>Eye contact:</w:t>
      </w:r>
      <w:r w:rsidRPr="001D71DB">
        <w:rPr>
          <w:rFonts w:ascii="TimesNewRomanPS" w:hAnsi="TimesNewRomanPS"/>
          <w:b/>
          <w:bCs/>
          <w:sz w:val="20"/>
          <w:szCs w:val="20"/>
          <w:lang w:val="en-US"/>
        </w:rPr>
        <w:br/>
      </w:r>
      <w:r w:rsidRPr="001D71DB">
        <w:rPr>
          <w:rFonts w:ascii="TimesNewRomanPSMT" w:hAnsi="TimesNewRomanPSMT"/>
          <w:sz w:val="20"/>
          <w:szCs w:val="20"/>
          <w:lang w:val="en-US"/>
        </w:rPr>
        <w:t xml:space="preserve">Check for and remove any contact lenses. Flush with water for 15 minutes. If symptoms persist get medical attention. </w:t>
      </w:r>
      <w:r w:rsidRPr="001D71DB">
        <w:rPr>
          <w:rFonts w:ascii="TimesNewRomanPS" w:hAnsi="TimesNewRomanPS"/>
          <w:b/>
          <w:bCs/>
          <w:sz w:val="20"/>
          <w:szCs w:val="20"/>
          <w:lang w:val="en-US"/>
        </w:rPr>
        <w:t>Skin Contact:</w:t>
      </w:r>
      <w:r w:rsidRPr="001D71DB">
        <w:rPr>
          <w:rFonts w:ascii="TimesNewRomanPS" w:hAnsi="TimesNewRomanPS"/>
          <w:b/>
          <w:bCs/>
          <w:sz w:val="20"/>
          <w:szCs w:val="20"/>
          <w:lang w:val="en-US"/>
        </w:rPr>
        <w:br/>
      </w:r>
      <w:r w:rsidRPr="001D71DB">
        <w:rPr>
          <w:rFonts w:ascii="TimesNewRomanPSMT" w:hAnsi="TimesNewRomanPSMT"/>
          <w:sz w:val="20"/>
          <w:szCs w:val="20"/>
          <w:lang w:val="en-US"/>
        </w:rPr>
        <w:t>No harmful effect with normal skin. If skin irritation does occur, wash with water and soap and rinse thoroughly. If skin irritation continues, consult a doctor.</w:t>
      </w:r>
      <w:r w:rsidRPr="001D71DB">
        <w:rPr>
          <w:rFonts w:ascii="TimesNewRomanPSMT" w:hAnsi="TimesNewRomanPSMT"/>
          <w:sz w:val="20"/>
          <w:szCs w:val="20"/>
          <w:lang w:val="en-US"/>
        </w:rPr>
        <w:br/>
      </w:r>
      <w:r w:rsidRPr="001D71DB">
        <w:rPr>
          <w:rFonts w:ascii="TimesNewRomanPS" w:hAnsi="TimesNewRomanPS"/>
          <w:b/>
          <w:bCs/>
          <w:sz w:val="20"/>
          <w:szCs w:val="20"/>
          <w:lang w:val="en-US"/>
        </w:rPr>
        <w:t>Inhalation:</w:t>
      </w:r>
      <w:r w:rsidRPr="001D71DB">
        <w:rPr>
          <w:rFonts w:ascii="TimesNewRomanPS" w:hAnsi="TimesNewRomanPS"/>
          <w:b/>
          <w:bCs/>
          <w:sz w:val="20"/>
          <w:szCs w:val="20"/>
          <w:lang w:val="en-US"/>
        </w:rPr>
        <w:br/>
      </w:r>
      <w:r w:rsidRPr="001D71DB">
        <w:rPr>
          <w:rFonts w:ascii="TimesNewRomanPSMT" w:hAnsi="TimesNewRomanPSMT"/>
          <w:sz w:val="20"/>
          <w:szCs w:val="20"/>
          <w:lang w:val="en-US"/>
        </w:rPr>
        <w:t xml:space="preserve">Not likely to occur under normal conditions of use. If symptoms occur, move to fresh air and obtain medical advice. </w:t>
      </w:r>
      <w:r w:rsidRPr="001D71DB">
        <w:rPr>
          <w:rFonts w:ascii="TimesNewRomanPS" w:hAnsi="TimesNewRomanPS"/>
          <w:b/>
          <w:bCs/>
          <w:sz w:val="20"/>
          <w:szCs w:val="20"/>
          <w:lang w:val="en-US"/>
        </w:rPr>
        <w:t>Ingestion:</w:t>
      </w:r>
      <w:r w:rsidRPr="001D71DB">
        <w:rPr>
          <w:rFonts w:ascii="TimesNewRomanPS" w:hAnsi="TimesNewRomanPS"/>
          <w:b/>
          <w:bCs/>
          <w:sz w:val="20"/>
          <w:szCs w:val="20"/>
          <w:lang w:val="en-US"/>
        </w:rPr>
        <w:br/>
      </w:r>
      <w:r w:rsidRPr="001D71DB">
        <w:rPr>
          <w:rFonts w:ascii="TimesNewRomanPSMT" w:hAnsi="TimesNewRomanPSMT"/>
          <w:sz w:val="20"/>
          <w:szCs w:val="20"/>
          <w:lang w:val="en-US"/>
        </w:rPr>
        <w:t xml:space="preserve">Not an expected route of exposure. In the event of swallowing, if the quantity is small (no more than one mouthful), rinse the mouth with milk or water and consult a doctor. Keep the exposed person at rest. Do NOT force vomiting unless directed to do so by medical personnel. Seek immediate medical attention and show the Substance’s label to medical personnel.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4.2 Most important symptoms and effects, both acute and delayed (of Substance) Eye contact:</w:t>
      </w:r>
      <w:r w:rsidRPr="001D71DB">
        <w:rPr>
          <w:rFonts w:ascii="TimesNewRomanPS" w:hAnsi="TimesNewRomanPS"/>
          <w:b/>
          <w:bCs/>
          <w:sz w:val="20"/>
          <w:szCs w:val="20"/>
          <w:lang w:val="en-US"/>
        </w:rPr>
        <w:br/>
      </w:r>
      <w:r w:rsidRPr="001D71DB">
        <w:rPr>
          <w:rFonts w:ascii="TimesNewRomanPSMT" w:hAnsi="TimesNewRomanPSMT"/>
          <w:sz w:val="20"/>
          <w:szCs w:val="20"/>
          <w:lang w:val="en-US"/>
        </w:rPr>
        <w:t>May cause eye irritation and corneal damage if not immediately rinsed out.</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Skin Contact: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Repeated contact may cause allergic dermatitis.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Inhalation: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Breathing high concentrations of vapor may cause anesthetic effects.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Ingestion: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an expected route of exposure.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lastRenderedPageBreak/>
        <w:t xml:space="preserve">4.3 Indication of any immediate medical attention and special treatment needed (of Substance)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None known. </w:t>
      </w:r>
    </w:p>
    <w:p w:rsidR="00C2170E" w:rsidRDefault="00C2170E" w:rsidP="00C2170E">
      <w:pPr>
        <w:spacing w:before="100" w:beforeAutospacing="1" w:after="100" w:afterAutospacing="1"/>
        <w:rPr>
          <w:rFonts w:ascii="TimesNewRomanPSMT" w:hAnsi="TimesNewRomanPSMT"/>
          <w:sz w:val="20"/>
          <w:szCs w:val="20"/>
          <w:shd w:val="clear" w:color="auto" w:fill="8CA8D8"/>
          <w:lang w:val="en-US"/>
        </w:rPr>
      </w:pPr>
      <w:r w:rsidRPr="001D71DB">
        <w:rPr>
          <w:rFonts w:ascii="TimesNewRomanPS" w:hAnsi="TimesNewRomanPS"/>
          <w:b/>
          <w:bCs/>
          <w:sz w:val="20"/>
          <w:szCs w:val="20"/>
          <w:shd w:val="clear" w:color="auto" w:fill="8CA8D8"/>
          <w:lang w:val="en-US"/>
        </w:rPr>
        <w:t xml:space="preserve">SECTION </w:t>
      </w:r>
      <w:proofErr w:type="gramStart"/>
      <w:r w:rsidRPr="001D71DB">
        <w:rPr>
          <w:rFonts w:ascii="TimesNewRomanPS" w:hAnsi="TimesNewRomanPS"/>
          <w:b/>
          <w:bCs/>
          <w:sz w:val="20"/>
          <w:szCs w:val="20"/>
          <w:shd w:val="clear" w:color="auto" w:fill="8CA8D8"/>
          <w:lang w:val="en-US"/>
        </w:rPr>
        <w:t xml:space="preserve">5 </w:t>
      </w:r>
      <w:r w:rsidRPr="001D71DB">
        <w:rPr>
          <w:rFonts w:ascii="TimesNewRomanPSMT" w:hAnsi="TimesNewRomanPSMT"/>
          <w:sz w:val="20"/>
          <w:szCs w:val="20"/>
          <w:shd w:val="clear" w:color="auto" w:fill="8CA8D8"/>
          <w:lang w:val="en-US"/>
        </w:rPr>
        <w:t>:</w:t>
      </w:r>
      <w:proofErr w:type="gramEnd"/>
      <w:r w:rsidRPr="001D71DB">
        <w:rPr>
          <w:rFonts w:ascii="TimesNewRomanPSMT" w:hAnsi="TimesNewRomanPSMT"/>
          <w:sz w:val="20"/>
          <w:szCs w:val="20"/>
          <w:shd w:val="clear" w:color="auto" w:fill="8CA8D8"/>
          <w:lang w:val="en-US"/>
        </w:rPr>
        <w:t xml:space="preserve"> FIRE-FIGHTING MEASURES </w:t>
      </w:r>
    </w:p>
    <w:p w:rsidR="00C2170E" w:rsidRDefault="00C2170E" w:rsidP="00C2170E">
      <w:pPr>
        <w:spacing w:before="100" w:beforeAutospacing="1" w:after="100" w:afterAutospacing="1"/>
        <w:rPr>
          <w:rFonts w:ascii="TimesNewRomanPS" w:hAnsi="TimesNewRomanPS"/>
          <w:b/>
          <w:bCs/>
          <w:sz w:val="20"/>
          <w:szCs w:val="20"/>
          <w:lang w:val="en-US"/>
        </w:rPr>
      </w:pPr>
      <w:r w:rsidRPr="001D71DB">
        <w:rPr>
          <w:rFonts w:ascii="TimesNewRomanPS" w:hAnsi="TimesNewRomanPS"/>
          <w:b/>
          <w:bCs/>
          <w:sz w:val="20"/>
          <w:szCs w:val="20"/>
          <w:lang w:val="en-US"/>
        </w:rPr>
        <w:t xml:space="preserve">5.1 Flash point </w:t>
      </w:r>
    </w:p>
    <w:p w:rsidR="00C2170E" w:rsidRDefault="00C2170E" w:rsidP="00C2170E">
      <w:pPr>
        <w:spacing w:before="100" w:beforeAutospacing="1" w:after="100" w:afterAutospacing="1"/>
        <w:rPr>
          <w:rFonts w:ascii="TimesNewRomanPS" w:hAnsi="TimesNewRomanPS"/>
          <w:b/>
          <w:bCs/>
          <w:sz w:val="20"/>
          <w:szCs w:val="20"/>
          <w:lang w:val="en-US"/>
        </w:rPr>
      </w:pPr>
      <w:r>
        <w:rPr>
          <w:lang w:val="en-US"/>
        </w:rPr>
        <w:t>70</w:t>
      </w:r>
      <w:r w:rsidRPr="008652CB">
        <w:rPr>
          <w:lang w:val="en-US"/>
        </w:rPr>
        <w:t xml:space="preserve">°C </w:t>
      </w:r>
      <w:r w:rsidRPr="001E25CD">
        <w:rPr>
          <w:lang w:val="en-US"/>
        </w:rPr>
        <w:t xml:space="preserve">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2 Extinguishing media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Suitable extinguishing media: sprayed water or water mist, alcohol-resistant foam, multipurpose ABC powder, BC powder, carbon dioxide (CO2) Unsuitable extinguishing media: water jet (straight stream). </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 xml:space="preserve">5.3 Specific hazards arising from the chemical </w:t>
      </w:r>
      <w:r w:rsidRPr="001D71DB">
        <w:rPr>
          <w:rFonts w:ascii="TimesNewRomanPSMT" w:hAnsi="TimesNewRomanPSMT"/>
          <w:sz w:val="20"/>
          <w:szCs w:val="20"/>
          <w:lang w:val="en-US"/>
        </w:rPr>
        <w:t xml:space="preserve">None known.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5.4 Special protective actions for firefighters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Use self-contained breathing apparatus and protective clothing.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6: </w:t>
      </w:r>
      <w:r w:rsidRPr="001D71DB">
        <w:rPr>
          <w:rFonts w:ascii="TimesNewRomanPSMT" w:hAnsi="TimesNewRomanPSMT"/>
          <w:sz w:val="20"/>
          <w:szCs w:val="20"/>
          <w:shd w:val="clear" w:color="auto" w:fill="8CA8D8"/>
          <w:lang w:val="en-US"/>
        </w:rPr>
        <w:t>ACCIDENTAL RELEASE MEASURES</w:t>
      </w:r>
      <w:r w:rsidRPr="001D71DB">
        <w:rPr>
          <w:rFonts w:ascii="TimesNewRomanPSMT" w:hAnsi="TimesNewRomanPSMT"/>
          <w:sz w:val="20"/>
          <w:szCs w:val="20"/>
          <w:shd w:val="clear" w:color="auto" w:fill="8CA8D8"/>
          <w:lang w:val="en-US"/>
        </w:rPr>
        <w:br/>
      </w:r>
      <w:r w:rsidRPr="001D71DB">
        <w:rPr>
          <w:rFonts w:ascii="TimesNewRomanPS" w:hAnsi="TimesNewRomanPS"/>
          <w:b/>
          <w:bCs/>
          <w:color w:val="0F0F0F"/>
          <w:sz w:val="20"/>
          <w:szCs w:val="20"/>
          <w:lang w:val="en-US"/>
        </w:rPr>
        <w:t xml:space="preserve">6.1 Personal precautions, protective equipment and emergency procedures </w:t>
      </w:r>
    </w:p>
    <w:p w:rsidR="00C2170E" w:rsidRPr="001D71DB" w:rsidRDefault="00C2170E" w:rsidP="00C2170E">
      <w:pPr>
        <w:spacing w:before="100" w:beforeAutospacing="1" w:after="100" w:afterAutospacing="1"/>
        <w:rPr>
          <w:lang w:val="en-US"/>
        </w:rPr>
      </w:pPr>
      <w:r w:rsidRPr="001D71DB">
        <w:rPr>
          <w:rFonts w:ascii="TimesNewRomanPSMT" w:hAnsi="TimesNewRomanPSMT"/>
          <w:color w:val="0F0F0F"/>
          <w:sz w:val="20"/>
          <w:szCs w:val="20"/>
          <w:lang w:val="en-US"/>
        </w:rPr>
        <w:t xml:space="preserve">Stop leak if you can do so without risk. Consult safety measures listed under Sections 7 and 8. </w:t>
      </w:r>
    </w:p>
    <w:p w:rsidR="00C2170E" w:rsidRPr="001D71DB" w:rsidRDefault="00C2170E" w:rsidP="00C2170E">
      <w:pPr>
        <w:spacing w:before="100" w:beforeAutospacing="1" w:after="100" w:afterAutospacing="1"/>
        <w:rPr>
          <w:lang w:val="en-US"/>
        </w:rPr>
      </w:pPr>
      <w:r w:rsidRPr="001D71DB">
        <w:rPr>
          <w:rFonts w:ascii="TimesNewRomanPS" w:hAnsi="TimesNewRomanPS"/>
          <w:b/>
          <w:bCs/>
          <w:color w:val="0F0F0F"/>
          <w:sz w:val="20"/>
          <w:szCs w:val="20"/>
          <w:lang w:val="en-US"/>
        </w:rPr>
        <w:t xml:space="preserve">For fire-fighters: </w:t>
      </w:r>
      <w:r w:rsidRPr="001D71DB">
        <w:rPr>
          <w:rFonts w:ascii="TimesNewRomanPSMT" w:hAnsi="TimesNewRomanPSMT"/>
          <w:color w:val="0F0F0F"/>
          <w:sz w:val="20"/>
          <w:szCs w:val="20"/>
          <w:lang w:val="en-US"/>
        </w:rPr>
        <w:t xml:space="preserve">Fire-fighters will be equipped with suitable personal protective equipment (See Section 8). High temperature may increase the pressure inside the container—cool the container by sprinkling water. Avoid breathing emitted vapors. </w:t>
      </w:r>
    </w:p>
    <w:p w:rsidR="00C2170E" w:rsidRPr="001D71DB" w:rsidRDefault="00C2170E" w:rsidP="00C2170E">
      <w:pPr>
        <w:spacing w:before="100" w:beforeAutospacing="1" w:after="100" w:afterAutospacing="1"/>
        <w:rPr>
          <w:lang w:val="en-US"/>
        </w:rPr>
      </w:pPr>
      <w:r w:rsidRPr="001D71DB">
        <w:rPr>
          <w:rFonts w:ascii="TimesNewRomanPS" w:hAnsi="TimesNewRomanPS"/>
          <w:b/>
          <w:bCs/>
          <w:color w:val="0F0F0F"/>
          <w:sz w:val="20"/>
          <w:szCs w:val="20"/>
          <w:lang w:val="en-US"/>
        </w:rPr>
        <w:t xml:space="preserve">6.2 Environmental precautions </w:t>
      </w:r>
    </w:p>
    <w:p w:rsidR="00C2170E" w:rsidRPr="001D71DB" w:rsidRDefault="00C2170E" w:rsidP="00C2170E">
      <w:pPr>
        <w:spacing w:before="100" w:beforeAutospacing="1" w:after="100" w:afterAutospacing="1"/>
        <w:rPr>
          <w:lang w:val="en-US"/>
        </w:rPr>
      </w:pPr>
      <w:r w:rsidRPr="001D71DB">
        <w:rPr>
          <w:rFonts w:ascii="TimesNewRomanPSMT" w:hAnsi="TimesNewRomanPSMT"/>
          <w:color w:val="0F0F0F"/>
          <w:sz w:val="20"/>
          <w:szCs w:val="20"/>
          <w:lang w:val="en-US"/>
        </w:rPr>
        <w:t xml:space="preserve">Contain and control the leaks or spills with non-combustible absorbent materials such as sand, earth, vermiculite, or diatomaceous earth in drums for waste disposal. Avoid allowing product to reach sewage system or any waterways. Inform respective authorities in case of seepage into sewage system or waterways. </w:t>
      </w:r>
    </w:p>
    <w:p w:rsidR="00C2170E" w:rsidRPr="001D71DB" w:rsidRDefault="00C2170E" w:rsidP="00C2170E">
      <w:pPr>
        <w:spacing w:before="100" w:beforeAutospacing="1" w:after="100" w:afterAutospacing="1"/>
        <w:rPr>
          <w:lang w:val="en-US"/>
        </w:rPr>
      </w:pPr>
      <w:r w:rsidRPr="001D71DB">
        <w:rPr>
          <w:rFonts w:ascii="TimesNewRomanPS" w:hAnsi="TimesNewRomanPS"/>
          <w:b/>
          <w:bCs/>
          <w:color w:val="0F0F0F"/>
          <w:sz w:val="20"/>
          <w:szCs w:val="20"/>
          <w:lang w:val="en-US"/>
        </w:rPr>
        <w:t xml:space="preserve">6.3 Methods and material for containment and cleaning up </w:t>
      </w:r>
    </w:p>
    <w:p w:rsidR="00C2170E" w:rsidRPr="001D71DB" w:rsidRDefault="00C2170E" w:rsidP="00C2170E">
      <w:pPr>
        <w:spacing w:before="100" w:beforeAutospacing="1" w:after="100" w:afterAutospacing="1"/>
        <w:rPr>
          <w:lang w:val="en-US"/>
        </w:rPr>
      </w:pPr>
      <w:r w:rsidRPr="001D71DB">
        <w:rPr>
          <w:rFonts w:ascii="TimesNewRomanPSMT" w:hAnsi="TimesNewRomanPSMT"/>
          <w:color w:val="0F0F0F"/>
          <w:sz w:val="20"/>
          <w:szCs w:val="20"/>
          <w:lang w:val="en-US"/>
        </w:rPr>
        <w:t xml:space="preserve">Absorb spill with non-combustible matter (such as detergent--do not use solvents) and transfer to contain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7: HANDLING AND STORAGE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7.1 Precautions for safe handling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Handle in accordance with good industrial hygiene and safety practice. Avoid unintentional contact with skin surfaces. Wear suitable protective clothing. Avoid inhalation. Ensure good ventilation or exhaust in workplace. Do not allow contact with eyes. Always wash hands after handling. Remove and wash contaminated clothing before re-using. Ensure that there is adequate ventilation, especially in confined areas.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7.2 Conditions for safe storage, including any incompatibilities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Store in closed glass containers, away from heat, light and other sources of ignition. Store in cool area.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8: EXPOSURE CONTROL / PERSONAL PROTECTION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8.1 Control parameters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lastRenderedPageBreak/>
        <w:t xml:space="preserve">OSHA TWA: None established OSHA STEL: None established ACGIH TWA: None established ACGIH STEL: None established NOHSC TWA: None established NOHSC STEL: None established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8.2 Appropriate engineering controls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General room or local exhaust ventilation is usually required to meet exposure limit(s). Electrical equipment should be grounded and conform to applicable electrical code. </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8.3 Individual protection measures</w:t>
      </w:r>
      <w:r w:rsidRPr="001D71DB">
        <w:rPr>
          <w:rFonts w:ascii="TimesNewRomanPS" w:hAnsi="TimesNewRomanPS"/>
          <w:b/>
          <w:bCs/>
          <w:sz w:val="20"/>
          <w:szCs w:val="20"/>
          <w:lang w:val="en-US"/>
        </w:rPr>
        <w:br/>
        <w:t>Personal protective equipment:</w:t>
      </w:r>
      <w:r w:rsidRPr="001D71DB">
        <w:rPr>
          <w:rFonts w:ascii="TimesNewRomanPS" w:hAnsi="TimesNewRomanPS"/>
          <w:b/>
          <w:bCs/>
          <w:sz w:val="20"/>
          <w:szCs w:val="20"/>
          <w:lang w:val="en-US"/>
        </w:rPr>
        <w:br/>
      </w:r>
      <w:r w:rsidRPr="001D71DB">
        <w:rPr>
          <w:rFonts w:ascii="TimesNewRomanPSMT" w:hAnsi="TimesNewRomanPSMT"/>
          <w:sz w:val="20"/>
          <w:szCs w:val="20"/>
          <w:lang w:val="en-US"/>
        </w:rPr>
        <w:t>Use personal protective equipment that is clean and has been properly maintained. Store personal protective equipment in a clean place away from the work area. Never eat, drink, or smoke during use. Remove and wash contaminated clothing before re-using.</w:t>
      </w:r>
      <w:r w:rsidRPr="001D71DB">
        <w:rPr>
          <w:rFonts w:ascii="TimesNewRomanPSMT" w:hAnsi="TimesNewRomanPSMT"/>
          <w:sz w:val="20"/>
          <w:szCs w:val="20"/>
          <w:lang w:val="en-US"/>
        </w:rPr>
        <w:br/>
      </w:r>
      <w:r w:rsidRPr="001D71DB">
        <w:rPr>
          <w:rFonts w:ascii="TimesNewRomanPS" w:hAnsi="TimesNewRomanPS"/>
          <w:b/>
          <w:bCs/>
          <w:sz w:val="20"/>
          <w:szCs w:val="20"/>
          <w:lang w:val="en-US"/>
        </w:rPr>
        <w:t>Eye/face protection:</w:t>
      </w:r>
      <w:r w:rsidRPr="001D71DB">
        <w:rPr>
          <w:rFonts w:ascii="TimesNewRomanPS" w:hAnsi="TimesNewRomanPS"/>
          <w:b/>
          <w:bCs/>
          <w:sz w:val="20"/>
          <w:szCs w:val="20"/>
          <w:lang w:val="en-US"/>
        </w:rPr>
        <w:br/>
      </w:r>
      <w:r w:rsidRPr="001D71DB">
        <w:rPr>
          <w:rFonts w:ascii="TimesNewRomanPSMT" w:hAnsi="TimesNewRomanPSMT"/>
          <w:sz w:val="20"/>
          <w:szCs w:val="20"/>
          <w:lang w:val="en-US"/>
        </w:rPr>
        <w:t>Avoid contact with eyes. Use eye protectors (safety goggles in accordance with standard EN166) designed to protect against liquid splashes.</w:t>
      </w:r>
      <w:r w:rsidRPr="001D71DB">
        <w:rPr>
          <w:rFonts w:ascii="TimesNewRomanPSMT" w:hAnsi="TimesNewRomanPSMT"/>
          <w:sz w:val="20"/>
          <w:szCs w:val="20"/>
          <w:lang w:val="en-US"/>
        </w:rPr>
        <w:br/>
      </w:r>
      <w:r w:rsidRPr="001D71DB">
        <w:rPr>
          <w:rFonts w:ascii="TimesNewRomanPS" w:hAnsi="TimesNewRomanPS"/>
          <w:b/>
          <w:bCs/>
          <w:sz w:val="20"/>
          <w:szCs w:val="20"/>
          <w:lang w:val="en-US"/>
        </w:rPr>
        <w:t>Hand protection:</w:t>
      </w:r>
      <w:r w:rsidRPr="001D71DB">
        <w:rPr>
          <w:rFonts w:ascii="TimesNewRomanPS" w:hAnsi="TimesNewRomanPS"/>
          <w:b/>
          <w:bCs/>
          <w:sz w:val="20"/>
          <w:szCs w:val="20"/>
          <w:lang w:val="en-US"/>
        </w:rPr>
        <w:br/>
      </w:r>
      <w:r w:rsidRPr="001D71DB">
        <w:rPr>
          <w:rFonts w:ascii="TimesNewRomanPSMT" w:hAnsi="TimesNewRomanPSMT"/>
          <w:sz w:val="20"/>
          <w:szCs w:val="20"/>
          <w:lang w:val="en-US"/>
        </w:rPr>
        <w:t>Wear suitable protective gloves (resistant to chemical agents in accordance with standard EN374) in the event of prolonged or repeated skin contact. Type of gloves recommended: Nitrile rubber (butadiene-acrylonitrile copolymer rubber (NBR)) or PVA (Polyvinyl alcohol).</w:t>
      </w:r>
      <w:r w:rsidRPr="001D71DB">
        <w:rPr>
          <w:rFonts w:ascii="TimesNewRomanPSMT" w:hAnsi="TimesNewRomanPSMT"/>
          <w:sz w:val="20"/>
          <w:szCs w:val="20"/>
          <w:lang w:val="en-US"/>
        </w:rPr>
        <w:br/>
      </w:r>
      <w:r w:rsidRPr="001D71DB">
        <w:rPr>
          <w:rFonts w:ascii="TimesNewRomanPS" w:hAnsi="TimesNewRomanPS"/>
          <w:b/>
          <w:bCs/>
          <w:sz w:val="20"/>
          <w:szCs w:val="20"/>
          <w:lang w:val="en-US"/>
        </w:rPr>
        <w:t>Body protection:</w:t>
      </w:r>
      <w:r w:rsidRPr="001D71DB">
        <w:rPr>
          <w:rFonts w:ascii="TimesNewRomanPS" w:hAnsi="TimesNewRomanPS"/>
          <w:b/>
          <w:bCs/>
          <w:sz w:val="20"/>
          <w:szCs w:val="20"/>
          <w:lang w:val="en-US"/>
        </w:rPr>
        <w:br/>
      </w:r>
      <w:r w:rsidRPr="001D71DB">
        <w:rPr>
          <w:rFonts w:ascii="TimesNewRomanPSMT" w:hAnsi="TimesNewRomanPSMT"/>
          <w:sz w:val="20"/>
          <w:szCs w:val="20"/>
          <w:lang w:val="en-US"/>
        </w:rPr>
        <w:t xml:space="preserve">Work clothing worn by personnel shall be laundered regularly. After contact with the product, all parts of the body that have been soiled must be washed. </w:t>
      </w:r>
    </w:p>
    <w:p w:rsidR="00C2170E" w:rsidRPr="001E25CD" w:rsidRDefault="00C2170E" w:rsidP="00C2170E">
      <w:r w:rsidRPr="001D71DB">
        <w:fldChar w:fldCharType="begin"/>
      </w:r>
      <w:r w:rsidRPr="001D71DB">
        <w:instrText xml:space="preserve"> INCLUDEPICTURE "/Users/hamidmasoudi/Library/Group Containers/UBF8T346G9.ms/WebArchiveCopyPasteTempFiles/com.microsoft.Word/page3image30003472" \* MERGEFORMATINET </w:instrText>
      </w:r>
      <w:r w:rsidRPr="001D71DB">
        <w:fldChar w:fldCharType="separate"/>
      </w:r>
      <w:r w:rsidRPr="001D71DB">
        <w:rPr>
          <w:noProof/>
        </w:rPr>
        <w:drawing>
          <wp:inline distT="0" distB="0" distL="0" distR="0" wp14:anchorId="0BEE668D" wp14:editId="53E0E459">
            <wp:extent cx="581025" cy="581025"/>
            <wp:effectExtent l="0" t="0" r="3175" b="3175"/>
            <wp:docPr id="1142471532" name="Immagine 3" descr="page3image3000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00034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1D71DB">
        <w:fldChar w:fldCharType="end"/>
      </w:r>
      <w:r w:rsidRPr="001D71DB">
        <w:fldChar w:fldCharType="begin"/>
      </w:r>
      <w:r w:rsidRPr="001D71DB">
        <w:instrText xml:space="preserve"> INCLUDEPICTURE "/Users/hamidmasoudi/Library/Group Containers/UBF8T346G9.ms/WebArchiveCopyPasteTempFiles/com.microsoft.Word/page3image30003264" \* MERGEFORMATINET </w:instrText>
      </w:r>
      <w:r w:rsidRPr="001D71DB">
        <w:fldChar w:fldCharType="separate"/>
      </w:r>
      <w:r w:rsidRPr="001D71DB">
        <w:rPr>
          <w:noProof/>
        </w:rPr>
        <w:drawing>
          <wp:inline distT="0" distB="0" distL="0" distR="0" wp14:anchorId="75A4FBDA" wp14:editId="555ECC03">
            <wp:extent cx="581025" cy="581025"/>
            <wp:effectExtent l="0" t="0" r="3175" b="3175"/>
            <wp:docPr id="529415182" name="Immagine 2" descr="page3image3000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00032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1D71DB">
        <w:fldChar w:fldCharType="end"/>
      </w:r>
    </w:p>
    <w:p w:rsidR="00C2170E" w:rsidRPr="001E25CD" w:rsidRDefault="00C2170E" w:rsidP="00C2170E">
      <w:pPr>
        <w:spacing w:before="100" w:beforeAutospacing="1" w:after="100" w:afterAutospacing="1"/>
      </w:pPr>
      <w:r w:rsidRPr="001E25CD">
        <w:rPr>
          <w:rFonts w:ascii="TimesNewRomanPS" w:hAnsi="TimesNewRomanPS"/>
          <w:b/>
          <w:bCs/>
          <w:sz w:val="20"/>
          <w:szCs w:val="20"/>
          <w:shd w:val="clear" w:color="auto" w:fill="8CA8D8"/>
        </w:rPr>
        <w:t xml:space="preserve">SECTION 9: PHYSICAL CHEMICAL PROPERTIES </w:t>
      </w:r>
    </w:p>
    <w:p w:rsidR="00C2170E" w:rsidRPr="001E25CD" w:rsidRDefault="00C2170E" w:rsidP="00C2170E">
      <w:pPr>
        <w:spacing w:before="100" w:beforeAutospacing="1" w:after="100" w:afterAutospacing="1"/>
      </w:pPr>
      <w:r w:rsidRPr="001E25CD">
        <w:rPr>
          <w:b/>
          <w:bCs/>
        </w:rPr>
        <w:t>9.1 Informazioni sulle proprietà fisiche e chimiche fondamentali</w:t>
      </w:r>
    </w:p>
    <w:p w:rsidR="00C2170E" w:rsidRPr="001E25CD" w:rsidRDefault="00C2170E" w:rsidP="00C2170E">
      <w:pPr>
        <w:numPr>
          <w:ilvl w:val="0"/>
          <w:numId w:val="3"/>
        </w:numPr>
        <w:spacing w:before="100" w:beforeAutospacing="1" w:after="100" w:afterAutospacing="1"/>
      </w:pPr>
      <w:r w:rsidRPr="001E25CD">
        <w:rPr>
          <w:b/>
          <w:bCs/>
        </w:rPr>
        <w:t>Aspetto</w:t>
      </w:r>
      <w:r w:rsidRPr="001E25CD">
        <w:t>: Liquido</w:t>
      </w:r>
    </w:p>
    <w:p w:rsidR="00C2170E" w:rsidRPr="001E25CD" w:rsidRDefault="00C2170E" w:rsidP="00C2170E">
      <w:pPr>
        <w:numPr>
          <w:ilvl w:val="0"/>
          <w:numId w:val="3"/>
        </w:numPr>
        <w:spacing w:before="100" w:beforeAutospacing="1" w:after="100" w:afterAutospacing="1"/>
      </w:pPr>
      <w:r w:rsidRPr="001E25CD">
        <w:rPr>
          <w:b/>
          <w:bCs/>
        </w:rPr>
        <w:t>Colore</w:t>
      </w:r>
      <w:r w:rsidRPr="001E25CD">
        <w:t>: Da giallo chiaro ad ambrato</w:t>
      </w:r>
    </w:p>
    <w:p w:rsidR="00C2170E" w:rsidRPr="001E25CD" w:rsidRDefault="00C2170E" w:rsidP="00C2170E">
      <w:pPr>
        <w:numPr>
          <w:ilvl w:val="0"/>
          <w:numId w:val="3"/>
        </w:numPr>
        <w:spacing w:before="100" w:beforeAutospacing="1" w:after="100" w:afterAutospacing="1"/>
      </w:pPr>
      <w:r w:rsidRPr="001E25CD">
        <w:rPr>
          <w:b/>
          <w:bCs/>
        </w:rPr>
        <w:t>Odore</w:t>
      </w:r>
      <w:r w:rsidRPr="001E25CD">
        <w:t>: Forte, speziato, erbaceo, caratteristico</w:t>
      </w:r>
    </w:p>
    <w:p w:rsidR="00C2170E" w:rsidRPr="001E25CD" w:rsidRDefault="00C2170E" w:rsidP="00C2170E">
      <w:pPr>
        <w:numPr>
          <w:ilvl w:val="0"/>
          <w:numId w:val="3"/>
        </w:numPr>
        <w:spacing w:before="100" w:beforeAutospacing="1" w:after="100" w:afterAutospacing="1"/>
      </w:pPr>
      <w:r w:rsidRPr="001E25CD">
        <w:rPr>
          <w:b/>
          <w:bCs/>
        </w:rPr>
        <w:t>Soglia olfattiva</w:t>
      </w:r>
      <w:r w:rsidRPr="001E25CD">
        <w:t>: Non disponibile</w:t>
      </w:r>
    </w:p>
    <w:p w:rsidR="00C2170E" w:rsidRDefault="00C2170E" w:rsidP="00C2170E">
      <w:pPr>
        <w:pStyle w:val="Titolo3"/>
      </w:pPr>
      <w:r>
        <w:rPr>
          <w:rStyle w:val="Enfasigrassetto"/>
        </w:rPr>
        <w:t>SEZIONE 9: Proprietà fisiche e chimiche</w:t>
      </w:r>
    </w:p>
    <w:p w:rsidR="00C2170E" w:rsidRDefault="00C2170E" w:rsidP="00C2170E">
      <w:pPr>
        <w:pStyle w:val="NormaleWeb"/>
      </w:pPr>
      <w:r w:rsidRPr="00C2170E">
        <w:rPr>
          <w:rStyle w:val="Enfasigrassetto"/>
        </w:rPr>
        <w:t>9.1 Informazioni sulle proprietà fisiche e chimiche fondamentali</w:t>
      </w:r>
      <w:r w:rsidRPr="00C2170E">
        <w:t xml:space="preserve"> </w:t>
      </w:r>
      <w:proofErr w:type="spellStart"/>
      <w:r w:rsidRPr="00C2170E">
        <w:rPr>
          <w:rStyle w:val="Enfasigrassetto"/>
        </w:rPr>
        <w:t>Appearance</w:t>
      </w:r>
      <w:proofErr w:type="spellEnd"/>
      <w:r w:rsidRPr="00C2170E">
        <w:rPr>
          <w:rStyle w:val="Enfasigrassetto"/>
        </w:rPr>
        <w:t>:</w:t>
      </w:r>
      <w:r w:rsidRPr="00C2170E">
        <w:t xml:space="preserve"> </w:t>
      </w:r>
    </w:p>
    <w:p w:rsidR="00C2170E" w:rsidRDefault="00C2170E" w:rsidP="00C2170E">
      <w:pPr>
        <w:pStyle w:val="NormaleWeb"/>
      </w:pPr>
      <w:r>
        <w:rPr>
          <w:rFonts w:hAnsi="Symbol"/>
        </w:rPr>
        <w:t></w:t>
      </w:r>
      <w:r>
        <w:t xml:space="preserve"> </w:t>
      </w:r>
      <w:r>
        <w:rPr>
          <w:rStyle w:val="Enfasigrassetto"/>
        </w:rPr>
        <w:t>Aspetto:</w:t>
      </w:r>
      <w:r>
        <w:t xml:space="preserve"> liquido limpido, da incolore a giallo pallido</w:t>
      </w:r>
    </w:p>
    <w:p w:rsidR="00C2170E" w:rsidRDefault="00C2170E" w:rsidP="00C2170E">
      <w:pPr>
        <w:pStyle w:val="NormaleWeb"/>
      </w:pPr>
      <w:r>
        <w:rPr>
          <w:rFonts w:hAnsi="Symbol"/>
        </w:rPr>
        <w:t></w:t>
      </w:r>
      <w:r>
        <w:t xml:space="preserve"> </w:t>
      </w:r>
      <w:r>
        <w:rPr>
          <w:rStyle w:val="Enfasigrassetto"/>
        </w:rPr>
        <w:t>Odore:</w:t>
      </w:r>
      <w:r>
        <w:t xml:space="preserve"> floreale, dolce, tipico del geranio</w:t>
      </w:r>
    </w:p>
    <w:p w:rsidR="00C2170E" w:rsidRDefault="00C2170E" w:rsidP="00C2170E">
      <w:pPr>
        <w:pStyle w:val="NormaleWeb"/>
      </w:pPr>
      <w:r>
        <w:rPr>
          <w:rFonts w:hAnsi="Symbol"/>
        </w:rPr>
        <w:t></w:t>
      </w:r>
      <w:r>
        <w:t xml:space="preserve"> </w:t>
      </w:r>
      <w:r>
        <w:rPr>
          <w:rStyle w:val="Enfasigrassetto"/>
        </w:rPr>
        <w:t>Soglia olfattiva:</w:t>
      </w:r>
      <w:r>
        <w:t xml:space="preserve"> non disponibile</w:t>
      </w:r>
    </w:p>
    <w:p w:rsidR="00C2170E" w:rsidRDefault="00C2170E" w:rsidP="00C2170E">
      <w:pPr>
        <w:pStyle w:val="NormaleWeb"/>
      </w:pPr>
      <w:r>
        <w:rPr>
          <w:rFonts w:hAnsi="Symbol"/>
        </w:rPr>
        <w:t></w:t>
      </w:r>
      <w:r>
        <w:t xml:space="preserve"> </w:t>
      </w:r>
      <w:r>
        <w:rPr>
          <w:rStyle w:val="Enfasigrassetto"/>
        </w:rPr>
        <w:t>pH:</w:t>
      </w:r>
      <w:r>
        <w:t xml:space="preserve"> non applicabile (sostanza non acquosa)</w:t>
      </w:r>
    </w:p>
    <w:p w:rsidR="00C2170E" w:rsidRDefault="00C2170E" w:rsidP="00C2170E">
      <w:pPr>
        <w:pStyle w:val="NormaleWeb"/>
      </w:pPr>
      <w:r>
        <w:rPr>
          <w:rFonts w:hAnsi="Symbol"/>
        </w:rPr>
        <w:t></w:t>
      </w:r>
      <w:r>
        <w:t xml:space="preserve"> </w:t>
      </w:r>
      <w:r>
        <w:rPr>
          <w:rStyle w:val="Enfasigrassetto"/>
        </w:rPr>
        <w:t>Punto di fusione:</w:t>
      </w:r>
      <w:r>
        <w:t xml:space="preserve"> non determinato</w:t>
      </w:r>
    </w:p>
    <w:p w:rsidR="00C2170E" w:rsidRDefault="00C2170E" w:rsidP="00C2170E">
      <w:pPr>
        <w:pStyle w:val="NormaleWeb"/>
      </w:pPr>
      <w:r>
        <w:rPr>
          <w:rFonts w:hAnsi="Symbol"/>
        </w:rPr>
        <w:t></w:t>
      </w:r>
      <w:r>
        <w:t xml:space="preserve"> </w:t>
      </w:r>
      <w:r>
        <w:rPr>
          <w:rStyle w:val="Enfasigrassetto"/>
        </w:rPr>
        <w:t>Punto di ebollizione iniziale e intervallo:</w:t>
      </w:r>
      <w:r>
        <w:t xml:space="preserve"> circa 230 °C</w:t>
      </w:r>
    </w:p>
    <w:p w:rsidR="00C2170E" w:rsidRDefault="00C2170E" w:rsidP="00C2170E">
      <w:pPr>
        <w:pStyle w:val="NormaleWeb"/>
      </w:pPr>
      <w:r>
        <w:rPr>
          <w:rFonts w:hAnsi="Symbol"/>
        </w:rPr>
        <w:t></w:t>
      </w:r>
      <w:r>
        <w:t xml:space="preserve"> </w:t>
      </w:r>
      <w:r>
        <w:rPr>
          <w:rStyle w:val="Enfasigrassetto"/>
        </w:rPr>
        <w:t>Punto di infiammabilità:</w:t>
      </w:r>
      <w:r>
        <w:t xml:space="preserve"> </w:t>
      </w:r>
      <w:r>
        <w:t>70</w:t>
      </w:r>
      <w:r>
        <w:t>°C (CC)</w:t>
      </w:r>
    </w:p>
    <w:p w:rsidR="00C2170E" w:rsidRDefault="00C2170E" w:rsidP="00C2170E">
      <w:pPr>
        <w:pStyle w:val="NormaleWeb"/>
      </w:pPr>
      <w:r>
        <w:rPr>
          <w:rFonts w:hAnsi="Symbol"/>
        </w:rPr>
        <w:lastRenderedPageBreak/>
        <w:t></w:t>
      </w:r>
      <w:r>
        <w:t xml:space="preserve"> </w:t>
      </w:r>
      <w:r>
        <w:rPr>
          <w:rStyle w:val="Enfasigrassetto"/>
        </w:rPr>
        <w:t>Velocità di evaporazione:</w:t>
      </w:r>
      <w:r>
        <w:t xml:space="preserve"> non disponibile</w:t>
      </w:r>
    </w:p>
    <w:p w:rsidR="00C2170E" w:rsidRDefault="00C2170E" w:rsidP="00C2170E">
      <w:pPr>
        <w:pStyle w:val="NormaleWeb"/>
      </w:pPr>
      <w:r>
        <w:rPr>
          <w:rFonts w:hAnsi="Symbol"/>
        </w:rPr>
        <w:t></w:t>
      </w:r>
      <w:r>
        <w:t xml:space="preserve"> </w:t>
      </w:r>
      <w:r>
        <w:rPr>
          <w:rStyle w:val="Enfasigrassetto"/>
        </w:rPr>
        <w:t>Infiammabilità (solidi, gas):</w:t>
      </w:r>
      <w:r>
        <w:t xml:space="preserve"> non applicabile</w:t>
      </w:r>
    </w:p>
    <w:p w:rsidR="00C2170E" w:rsidRDefault="00C2170E" w:rsidP="00C2170E">
      <w:pPr>
        <w:pStyle w:val="NormaleWeb"/>
      </w:pPr>
      <w:r>
        <w:rPr>
          <w:rFonts w:hAnsi="Symbol"/>
        </w:rPr>
        <w:t></w:t>
      </w:r>
      <w:r>
        <w:t xml:space="preserve"> </w:t>
      </w:r>
      <w:r>
        <w:rPr>
          <w:rStyle w:val="Enfasigrassetto"/>
        </w:rPr>
        <w:t>Limiti di esplosività:</w:t>
      </w:r>
      <w:r>
        <w:t xml:space="preserve"> non determinati</w:t>
      </w:r>
    </w:p>
    <w:p w:rsidR="00C2170E" w:rsidRDefault="00C2170E" w:rsidP="00C2170E">
      <w:pPr>
        <w:pStyle w:val="NormaleWeb"/>
      </w:pPr>
      <w:r>
        <w:rPr>
          <w:rFonts w:hAnsi="Symbol"/>
        </w:rPr>
        <w:t></w:t>
      </w:r>
      <w:r>
        <w:t xml:space="preserve"> </w:t>
      </w:r>
      <w:r>
        <w:rPr>
          <w:rStyle w:val="Enfasigrassetto"/>
        </w:rPr>
        <w:t>Pressione di vapore (20 °C):</w:t>
      </w:r>
      <w:r>
        <w:t xml:space="preserve"> &lt; 2 hPa</w:t>
      </w:r>
    </w:p>
    <w:p w:rsidR="00C2170E" w:rsidRDefault="00C2170E" w:rsidP="00C2170E">
      <w:pPr>
        <w:pStyle w:val="NormaleWeb"/>
      </w:pPr>
      <w:r>
        <w:rPr>
          <w:rFonts w:hAnsi="Symbol"/>
        </w:rPr>
        <w:t></w:t>
      </w:r>
      <w:r>
        <w:t xml:space="preserve"> </w:t>
      </w:r>
      <w:r>
        <w:rPr>
          <w:rStyle w:val="Enfasigrassetto"/>
        </w:rPr>
        <w:t>Densità relativa (20 °C):</w:t>
      </w:r>
      <w:r>
        <w:t xml:space="preserve"> 0,880 – 0,905 g/cm³</w:t>
      </w:r>
    </w:p>
    <w:p w:rsidR="00C2170E" w:rsidRDefault="00C2170E" w:rsidP="00C2170E">
      <w:pPr>
        <w:pStyle w:val="NormaleWeb"/>
      </w:pPr>
      <w:r>
        <w:rPr>
          <w:rFonts w:hAnsi="Symbol"/>
        </w:rPr>
        <w:t></w:t>
      </w:r>
      <w:r>
        <w:t xml:space="preserve"> </w:t>
      </w:r>
      <w:r>
        <w:rPr>
          <w:rStyle w:val="Enfasigrassetto"/>
        </w:rPr>
        <w:t>Solubilità in acqua:</w:t>
      </w:r>
      <w:r>
        <w:t xml:space="preserve"> insolubile</w:t>
      </w:r>
    </w:p>
    <w:p w:rsidR="00C2170E" w:rsidRDefault="00C2170E" w:rsidP="00C2170E">
      <w:pPr>
        <w:pStyle w:val="NormaleWeb"/>
      </w:pPr>
      <w:r>
        <w:rPr>
          <w:rFonts w:hAnsi="Symbol"/>
        </w:rPr>
        <w:t></w:t>
      </w:r>
      <w:r>
        <w:t xml:space="preserve"> </w:t>
      </w:r>
      <w:r>
        <w:rPr>
          <w:rStyle w:val="Enfasigrassetto"/>
        </w:rPr>
        <w:t>Coefficiente di ripartizione n-</w:t>
      </w:r>
      <w:proofErr w:type="spellStart"/>
      <w:r>
        <w:rPr>
          <w:rStyle w:val="Enfasigrassetto"/>
        </w:rPr>
        <w:t>octanol</w:t>
      </w:r>
      <w:proofErr w:type="spellEnd"/>
      <w:r>
        <w:rPr>
          <w:rStyle w:val="Enfasigrassetto"/>
        </w:rPr>
        <w:t xml:space="preserve">/acqua (log </w:t>
      </w:r>
      <w:proofErr w:type="spellStart"/>
      <w:r>
        <w:rPr>
          <w:rStyle w:val="Enfasigrassetto"/>
        </w:rPr>
        <w:t>Kow</w:t>
      </w:r>
      <w:proofErr w:type="spellEnd"/>
      <w:r>
        <w:rPr>
          <w:rStyle w:val="Enfasigrassetto"/>
        </w:rPr>
        <w:t>):</w:t>
      </w:r>
      <w:r>
        <w:t xml:space="preserve"> &gt; 3 (stima)</w:t>
      </w:r>
    </w:p>
    <w:p w:rsidR="00C2170E" w:rsidRDefault="00C2170E" w:rsidP="00C2170E">
      <w:pPr>
        <w:pStyle w:val="NormaleWeb"/>
      </w:pPr>
      <w:r>
        <w:rPr>
          <w:rFonts w:hAnsi="Symbol"/>
        </w:rPr>
        <w:t></w:t>
      </w:r>
      <w:r>
        <w:t xml:space="preserve"> </w:t>
      </w:r>
      <w:r>
        <w:rPr>
          <w:rStyle w:val="Enfasigrassetto"/>
        </w:rPr>
        <w:t>Temperatura di autoaccensione:</w:t>
      </w:r>
      <w:r>
        <w:t xml:space="preserve"> non determinata</w:t>
      </w:r>
    </w:p>
    <w:p w:rsidR="00C2170E" w:rsidRDefault="00C2170E" w:rsidP="00C2170E">
      <w:pPr>
        <w:pStyle w:val="NormaleWeb"/>
      </w:pPr>
      <w:r>
        <w:rPr>
          <w:rFonts w:hAnsi="Symbol"/>
        </w:rPr>
        <w:t></w:t>
      </w:r>
      <w:r>
        <w:t xml:space="preserve"> </w:t>
      </w:r>
      <w:r>
        <w:rPr>
          <w:rStyle w:val="Enfasigrassetto"/>
        </w:rPr>
        <w:t>Viscosità (20 °C):</w:t>
      </w:r>
      <w:r>
        <w:t xml:space="preserve"> 2–6 </w:t>
      </w:r>
      <w:proofErr w:type="spellStart"/>
      <w:r>
        <w:t>mPa·s</w:t>
      </w:r>
      <w:proofErr w:type="spellEnd"/>
    </w:p>
    <w:p w:rsidR="00C2170E" w:rsidRDefault="00C2170E" w:rsidP="00C2170E">
      <w:pPr>
        <w:pStyle w:val="NormaleWeb"/>
      </w:pPr>
      <w:r>
        <w:rPr>
          <w:rFonts w:hAnsi="Symbol"/>
        </w:rPr>
        <w:t></w:t>
      </w:r>
      <w:r>
        <w:t xml:space="preserve"> </w:t>
      </w:r>
      <w:r>
        <w:rPr>
          <w:rStyle w:val="Enfasigrassetto"/>
        </w:rPr>
        <w:t>Proprietà esplosive/ossidanti:</w:t>
      </w:r>
      <w:r>
        <w:t xml:space="preserve"> non considerate pericolose</w:t>
      </w:r>
    </w:p>
    <w:p w:rsidR="00C2170E" w:rsidRPr="00C2170E" w:rsidRDefault="00C2170E" w:rsidP="00C2170E">
      <w:pPr>
        <w:pStyle w:val="NormaleWeb"/>
      </w:pP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10: STABILITY AND REACTIVITY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10.1 Reactivity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reactive.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10.2 Chemical stability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This substance is stable under the recommended handling and storage conditions in Section 7.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10.3 Possibility of hazardous reactions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When exposed to high temperatures, the substance may release hazardous decomposition products, such as carbon monoxide, carbon dioxide, fumes, and nitrogen oxide.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10.4. Conditions to avoid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None known.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10.5 Incompatible materials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Alkali metals, ammonia, oxidizing agents, peroxides strong inorganic acids.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10.6 Hazardous decomposition products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The thermal decomposition may release/form carbon monoxide (CO) and carbon dioxide (CO2).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11: TOXICOLOGICAL INFORMATION </w:t>
      </w:r>
    </w:p>
    <w:p w:rsidR="00C2170E" w:rsidRDefault="00C2170E" w:rsidP="00C2170E">
      <w:pPr>
        <w:rPr>
          <w:rFonts w:ascii="Times New Roman Bold" w:hAnsi="Times New Roman Bold"/>
          <w:sz w:val="20"/>
          <w:szCs w:val="20"/>
          <w:lang w:val="en-US"/>
        </w:rPr>
      </w:pPr>
      <w:r w:rsidRPr="001D71DB">
        <w:rPr>
          <w:rFonts w:ascii="Times New Roman Bold" w:hAnsi="Times New Roman Bold"/>
          <w:sz w:val="20"/>
          <w:szCs w:val="20"/>
          <w:lang w:val="en-US"/>
        </w:rPr>
        <w:t>11.1 Substance</w:t>
      </w:r>
      <w:r w:rsidRPr="001D71DB">
        <w:rPr>
          <w:rFonts w:ascii="Times New Roman Bold" w:hAnsi="Times New Roman Bold"/>
          <w:sz w:val="20"/>
          <w:szCs w:val="20"/>
          <w:lang w:val="en-US"/>
        </w:rPr>
        <w:br/>
        <w:t xml:space="preserve">Acute toxicity: </w:t>
      </w:r>
      <w:r w:rsidRPr="001D71DB">
        <w:rPr>
          <w:sz w:val="20"/>
          <w:szCs w:val="20"/>
          <w:lang w:val="en-US"/>
        </w:rPr>
        <w:t>No data available.</w:t>
      </w:r>
      <w:r w:rsidRPr="001D71DB">
        <w:rPr>
          <w:sz w:val="20"/>
          <w:szCs w:val="20"/>
          <w:lang w:val="en-US"/>
        </w:rPr>
        <w:br/>
      </w:r>
      <w:r w:rsidRPr="001D71DB">
        <w:rPr>
          <w:rFonts w:ascii="Times New Roman Bold" w:hAnsi="Times New Roman Bold"/>
          <w:sz w:val="20"/>
          <w:szCs w:val="20"/>
          <w:lang w:val="en-US"/>
        </w:rPr>
        <w:lastRenderedPageBreak/>
        <w:t xml:space="preserve">Skin corrosion/irritation: </w:t>
      </w:r>
      <w:r w:rsidRPr="001D71DB">
        <w:rPr>
          <w:sz w:val="20"/>
          <w:szCs w:val="20"/>
          <w:lang w:val="en-US"/>
        </w:rPr>
        <w:t>No data available.</w:t>
      </w:r>
      <w:r>
        <w:rPr>
          <w:sz w:val="20"/>
          <w:szCs w:val="20"/>
          <w:lang w:val="en-US"/>
        </w:rPr>
        <w:t xml:space="preserve"> </w:t>
      </w:r>
      <w:r w:rsidRPr="001D71DB">
        <w:rPr>
          <w:sz w:val="20"/>
          <w:szCs w:val="20"/>
          <w:lang w:val="en-US"/>
        </w:rPr>
        <w:br/>
      </w:r>
      <w:r w:rsidRPr="001D71DB">
        <w:rPr>
          <w:rFonts w:ascii="Times New Roman Bold" w:hAnsi="Times New Roman Bold"/>
          <w:sz w:val="20"/>
          <w:szCs w:val="20"/>
          <w:lang w:val="en-US"/>
        </w:rPr>
        <w:t>Serious eye damage/irritation</w:t>
      </w:r>
      <w:r w:rsidRPr="00B26C61">
        <w:rPr>
          <w:sz w:val="20"/>
          <w:szCs w:val="20"/>
          <w:lang w:val="en-US"/>
        </w:rPr>
        <w:t xml:space="preserve"> </w:t>
      </w:r>
      <w:r w:rsidRPr="001D71DB">
        <w:rPr>
          <w:sz w:val="20"/>
          <w:szCs w:val="20"/>
          <w:lang w:val="en-US"/>
        </w:rPr>
        <w:t>No data available</w:t>
      </w:r>
      <w:r w:rsidRPr="001D71DB">
        <w:rPr>
          <w:rFonts w:ascii="Times New Roman Bold" w:hAnsi="Times New Roman Bold"/>
          <w:sz w:val="20"/>
          <w:szCs w:val="20"/>
          <w:lang w:val="en-US"/>
        </w:rPr>
        <w:t xml:space="preserve"> </w:t>
      </w:r>
    </w:p>
    <w:p w:rsidR="00C2170E" w:rsidRPr="001D71DB" w:rsidRDefault="00C2170E" w:rsidP="00C2170E">
      <w:pPr>
        <w:rPr>
          <w:lang w:val="en-US"/>
        </w:rPr>
      </w:pPr>
      <w:r w:rsidRPr="001D71DB">
        <w:rPr>
          <w:rFonts w:ascii="Times New Roman Bold" w:hAnsi="Times New Roman Bold"/>
          <w:sz w:val="20"/>
          <w:szCs w:val="20"/>
          <w:lang w:val="en-US"/>
        </w:rPr>
        <w:t xml:space="preserve">Respiratory sensitization: </w:t>
      </w:r>
      <w:r>
        <w:rPr>
          <w:sz w:val="20"/>
          <w:szCs w:val="20"/>
          <w:lang w:val="en-US"/>
        </w:rPr>
        <w:t>not specified</w:t>
      </w:r>
      <w:r w:rsidRPr="001D71DB">
        <w:rPr>
          <w:sz w:val="20"/>
          <w:szCs w:val="20"/>
          <w:lang w:val="en-US"/>
        </w:rPr>
        <w:br/>
      </w:r>
      <w:r w:rsidRPr="001D71DB">
        <w:rPr>
          <w:rFonts w:ascii="Times New Roman Bold" w:hAnsi="Times New Roman Bold"/>
          <w:sz w:val="20"/>
          <w:szCs w:val="20"/>
          <w:lang w:val="en-US"/>
        </w:rPr>
        <w:t xml:space="preserve">Germ cell mutagenicity: </w:t>
      </w:r>
      <w:r w:rsidRPr="001D71DB">
        <w:rPr>
          <w:sz w:val="20"/>
          <w:szCs w:val="20"/>
          <w:lang w:val="en-US"/>
        </w:rPr>
        <w:t>Not specified</w:t>
      </w:r>
      <w:r w:rsidRPr="001D71DB">
        <w:rPr>
          <w:sz w:val="20"/>
          <w:szCs w:val="20"/>
          <w:lang w:val="en-US"/>
        </w:rPr>
        <w:br/>
      </w:r>
      <w:r w:rsidRPr="001D71DB">
        <w:rPr>
          <w:rFonts w:ascii="Times New Roman Bold" w:hAnsi="Times New Roman Bold"/>
          <w:sz w:val="20"/>
          <w:szCs w:val="20"/>
          <w:lang w:val="en-US"/>
        </w:rPr>
        <w:t>Carcinogenicity:</w:t>
      </w:r>
      <w:r w:rsidRPr="001D71DB">
        <w:rPr>
          <w:rFonts w:ascii="Times New Roman Bold" w:hAnsi="Times New Roman Bold"/>
          <w:sz w:val="20"/>
          <w:szCs w:val="20"/>
          <w:lang w:val="en-US"/>
        </w:rPr>
        <w:br/>
      </w:r>
      <w:r w:rsidRPr="001D71DB">
        <w:rPr>
          <w:sz w:val="20"/>
          <w:szCs w:val="20"/>
          <w:lang w:val="en-US"/>
        </w:rPr>
        <w:t>IARH: No component of this product present at levels greater than or equal to 0.1% is identified as</w:t>
      </w:r>
      <w:r w:rsidRPr="001D71DB">
        <w:rPr>
          <w:sz w:val="20"/>
          <w:szCs w:val="20"/>
          <w:lang w:val="en-US"/>
        </w:rPr>
        <w:br/>
        <w:t>probable, possible or confirmed human carcinogen by IARC.</w:t>
      </w:r>
      <w:r w:rsidRPr="001D71DB">
        <w:rPr>
          <w:sz w:val="20"/>
          <w:szCs w:val="20"/>
          <w:lang w:val="en-US"/>
        </w:rPr>
        <w:br/>
        <w:t>ACGIH: No component of this product present at levels greater than or equal to 0.1% is identified as</w:t>
      </w:r>
      <w:r w:rsidRPr="001D71DB">
        <w:rPr>
          <w:sz w:val="20"/>
          <w:szCs w:val="20"/>
          <w:lang w:val="en-US"/>
        </w:rPr>
        <w:br/>
        <w:t>probable, possible or confirmed human carcinogen by IARC.</w:t>
      </w:r>
      <w:r w:rsidRPr="001D71DB">
        <w:rPr>
          <w:sz w:val="20"/>
          <w:szCs w:val="20"/>
          <w:lang w:val="en-US"/>
        </w:rPr>
        <w:br/>
        <w:t>NTP: No component of this product present at levels greater than or equal to 0.1% is identified as probable, possible or confirmed human carcinogen by IARC.</w:t>
      </w:r>
      <w:r w:rsidRPr="001D71DB">
        <w:rPr>
          <w:sz w:val="20"/>
          <w:szCs w:val="20"/>
          <w:lang w:val="en-US"/>
        </w:rPr>
        <w:br/>
        <w:t>OSHA: No component of this product present at levels greater than or equal to 0.1% is identified as</w:t>
      </w:r>
      <w:r w:rsidRPr="001D71DB">
        <w:rPr>
          <w:sz w:val="20"/>
          <w:szCs w:val="20"/>
          <w:lang w:val="en-US"/>
        </w:rPr>
        <w:br/>
        <w:t>probable, possible or confirmed human carcinogen by IARC.</w:t>
      </w:r>
      <w:r w:rsidRPr="001D71DB">
        <w:rPr>
          <w:sz w:val="20"/>
          <w:szCs w:val="20"/>
          <w:lang w:val="en-US"/>
        </w:rPr>
        <w:br/>
      </w:r>
      <w:r w:rsidRPr="001D71DB">
        <w:rPr>
          <w:rFonts w:ascii="Times New Roman Bold" w:hAnsi="Times New Roman Bold"/>
          <w:sz w:val="20"/>
          <w:szCs w:val="20"/>
          <w:lang w:val="en-US"/>
        </w:rPr>
        <w:t xml:space="preserve">Reproductive toxicity: </w:t>
      </w:r>
      <w:r w:rsidRPr="001D71DB">
        <w:rPr>
          <w:sz w:val="20"/>
          <w:szCs w:val="20"/>
          <w:lang w:val="en-US"/>
        </w:rPr>
        <w:t>Not specified</w:t>
      </w:r>
      <w:r w:rsidRPr="001D71DB">
        <w:rPr>
          <w:sz w:val="20"/>
          <w:szCs w:val="20"/>
          <w:lang w:val="en-US"/>
        </w:rPr>
        <w:br/>
      </w:r>
      <w:r w:rsidRPr="001D71DB">
        <w:rPr>
          <w:rFonts w:ascii="Times New Roman Bold" w:hAnsi="Times New Roman Bold"/>
          <w:sz w:val="20"/>
          <w:szCs w:val="20"/>
          <w:lang w:val="en-US"/>
        </w:rPr>
        <w:t xml:space="preserve">STOT-single exposure: </w:t>
      </w:r>
      <w:r w:rsidRPr="001D71DB">
        <w:rPr>
          <w:sz w:val="20"/>
          <w:szCs w:val="20"/>
          <w:lang w:val="en-US"/>
        </w:rPr>
        <w:t>Not specified</w:t>
      </w:r>
      <w:r w:rsidRPr="001D71DB">
        <w:rPr>
          <w:sz w:val="20"/>
          <w:szCs w:val="20"/>
          <w:lang w:val="en-US"/>
        </w:rPr>
        <w:br/>
      </w:r>
      <w:r w:rsidRPr="001D71DB">
        <w:rPr>
          <w:rFonts w:ascii="Times New Roman Bold" w:hAnsi="Times New Roman Bold"/>
          <w:sz w:val="20"/>
          <w:szCs w:val="20"/>
          <w:lang w:val="en-US"/>
        </w:rPr>
        <w:t xml:space="preserve">STOT-related exposure: </w:t>
      </w:r>
      <w:r w:rsidRPr="001D71DB">
        <w:rPr>
          <w:sz w:val="20"/>
          <w:szCs w:val="20"/>
          <w:lang w:val="en-US"/>
        </w:rPr>
        <w:t>Not specified</w:t>
      </w:r>
      <w:r w:rsidRPr="001D71DB">
        <w:rPr>
          <w:sz w:val="20"/>
          <w:szCs w:val="20"/>
          <w:lang w:val="en-US"/>
        </w:rPr>
        <w:br/>
      </w:r>
      <w:r w:rsidRPr="001D71DB">
        <w:rPr>
          <w:rFonts w:ascii="Times New Roman Bold" w:hAnsi="Times New Roman Bold"/>
          <w:sz w:val="20"/>
          <w:szCs w:val="20"/>
          <w:lang w:val="en-US"/>
        </w:rPr>
        <w:t xml:space="preserve">Aspiration hazard: </w:t>
      </w:r>
      <w:r w:rsidRPr="001D71DB">
        <w:rPr>
          <w:sz w:val="20"/>
          <w:szCs w:val="20"/>
          <w:lang w:val="en-US"/>
        </w:rPr>
        <w:t xml:space="preserve">Not specified </w:t>
      </w:r>
    </w:p>
    <w:p w:rsidR="00C2170E" w:rsidRPr="00656D92" w:rsidRDefault="00C2170E" w:rsidP="00C2170E">
      <w:pPr>
        <w:spacing w:before="100" w:beforeAutospacing="1" w:after="100" w:afterAutospacing="1"/>
        <w:rPr>
          <w:lang w:val="en-US"/>
        </w:rPr>
      </w:pPr>
      <w:r w:rsidRPr="001D71DB">
        <w:rPr>
          <w:rFonts w:ascii="Times New Roman Bold" w:hAnsi="Times New Roman Bold"/>
          <w:sz w:val="20"/>
          <w:szCs w:val="20"/>
          <w:lang w:val="en-US"/>
        </w:rPr>
        <w:t xml:space="preserve">11.2 Information on the likely routes of exposure </w:t>
      </w:r>
      <w:r w:rsidRPr="001D71DB">
        <w:rPr>
          <w:sz w:val="20"/>
          <w:szCs w:val="20"/>
          <w:lang w:val="en-US"/>
        </w:rPr>
        <w:t>Skin/scalp contact.</w:t>
      </w:r>
      <w:r w:rsidRPr="001D71DB">
        <w:rPr>
          <w:sz w:val="20"/>
          <w:szCs w:val="20"/>
          <w:lang w:val="en-US"/>
        </w:rPr>
        <w:br/>
      </w:r>
      <w:r w:rsidRPr="00656D92">
        <w:rPr>
          <w:rFonts w:ascii="Times New Roman Bold" w:hAnsi="Times New Roman Bold"/>
          <w:sz w:val="20"/>
          <w:szCs w:val="20"/>
          <w:lang w:val="en-US"/>
        </w:rPr>
        <w:t xml:space="preserve">11.3 Symptoms related to the physical, chemical, and toxicological characteristics </w:t>
      </w:r>
    </w:p>
    <w:p w:rsidR="00C2170E" w:rsidRPr="001D71DB" w:rsidRDefault="00C2170E" w:rsidP="00C2170E">
      <w:pPr>
        <w:spacing w:before="100" w:beforeAutospacing="1" w:after="100" w:afterAutospacing="1"/>
        <w:rPr>
          <w:lang w:val="en-US"/>
        </w:rPr>
      </w:pPr>
      <w:r w:rsidRPr="001D71DB">
        <w:rPr>
          <w:sz w:val="20"/>
          <w:szCs w:val="20"/>
          <w:lang w:val="en-US"/>
        </w:rPr>
        <w:t xml:space="preserve">None known. Irritation of the eye if exposed. Redness of the skin if irritated. </w:t>
      </w:r>
    </w:p>
    <w:p w:rsidR="00C2170E" w:rsidRPr="001D71DB" w:rsidRDefault="00C2170E" w:rsidP="00C2170E">
      <w:pPr>
        <w:spacing w:before="100" w:beforeAutospacing="1" w:after="100" w:afterAutospacing="1"/>
        <w:rPr>
          <w:lang w:val="en-US"/>
        </w:rPr>
      </w:pPr>
      <w:r w:rsidRPr="001D71DB">
        <w:rPr>
          <w:rFonts w:ascii="Times New Roman Bold" w:hAnsi="Times New Roman Bold"/>
          <w:sz w:val="20"/>
          <w:szCs w:val="20"/>
          <w:lang w:val="en-US"/>
        </w:rPr>
        <w:t xml:space="preserve">11.4 Delayed and immediate effects and also chronic effects from short-term and long-term exposure </w:t>
      </w:r>
    </w:p>
    <w:p w:rsidR="00C2170E" w:rsidRPr="001D71DB" w:rsidRDefault="00C2170E" w:rsidP="00C2170E">
      <w:pPr>
        <w:spacing w:before="100" w:beforeAutospacing="1" w:after="100" w:afterAutospacing="1"/>
        <w:rPr>
          <w:lang w:val="en-US"/>
        </w:rPr>
      </w:pPr>
      <w:r w:rsidRPr="001D71DB">
        <w:rPr>
          <w:sz w:val="20"/>
          <w:szCs w:val="20"/>
          <w:lang w:val="en-US"/>
        </w:rPr>
        <w:t xml:space="preserve">Not specified 11.6 Interactive effects Not specified </w:t>
      </w:r>
    </w:p>
    <w:p w:rsidR="00C2170E" w:rsidRDefault="00C2170E" w:rsidP="00C2170E">
      <w:pPr>
        <w:spacing w:before="100" w:beforeAutospacing="1" w:after="100" w:afterAutospacing="1"/>
        <w:rPr>
          <w:rFonts w:ascii="TimesNewRomanPS" w:hAnsi="TimesNewRomanPS"/>
          <w:b/>
          <w:bCs/>
          <w:sz w:val="20"/>
          <w:szCs w:val="20"/>
          <w:lang w:val="en-US"/>
        </w:rPr>
      </w:pPr>
      <w:r w:rsidRPr="001D71DB">
        <w:rPr>
          <w:rFonts w:ascii="TimesNewRomanPS" w:hAnsi="TimesNewRomanPS"/>
          <w:b/>
          <w:bCs/>
          <w:sz w:val="20"/>
          <w:szCs w:val="20"/>
          <w:lang w:val="en-US"/>
        </w:rPr>
        <w:t xml:space="preserve">11.7 Where specific chemical data are not available </w:t>
      </w:r>
      <w:r w:rsidRPr="001D71DB">
        <w:rPr>
          <w:rFonts w:ascii="TimesNewRomanPSMT" w:hAnsi="TimesNewRomanPSMT"/>
          <w:sz w:val="20"/>
          <w:szCs w:val="20"/>
          <w:lang w:val="en-US"/>
        </w:rPr>
        <w:t>Not specified</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11.8 Substances Not specified </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 xml:space="preserve">11.9 Substances verses ingredient information </w:t>
      </w:r>
      <w:r w:rsidRPr="001D71DB">
        <w:rPr>
          <w:rFonts w:ascii="TimesNewRomanPSMT" w:hAnsi="TimesNewRomanPSMT"/>
          <w:sz w:val="20"/>
          <w:szCs w:val="20"/>
          <w:lang w:val="en-US"/>
        </w:rPr>
        <w:t>Not specified</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 xml:space="preserve">11.10 Other Information </w:t>
      </w:r>
      <w:r w:rsidRPr="001D71DB">
        <w:rPr>
          <w:rFonts w:ascii="TimesNewRomanPSMT" w:hAnsi="TimesNewRomanPSMT"/>
          <w:sz w:val="20"/>
          <w:szCs w:val="20"/>
          <w:lang w:val="en-US"/>
        </w:rPr>
        <w:t xml:space="preserve">None </w:t>
      </w:r>
    </w:p>
    <w:p w:rsidR="00C2170E" w:rsidRPr="001D71DB" w:rsidRDefault="00C2170E" w:rsidP="00C2170E">
      <w:pPr>
        <w:spacing w:before="100" w:beforeAutospacing="1" w:after="100" w:afterAutospacing="1"/>
        <w:rPr>
          <w:lang w:val="en-US"/>
        </w:rPr>
      </w:pP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12: ECOLOGICAL INFORMATION </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 xml:space="preserve">12.1 Info summery of Ecological information </w:t>
      </w:r>
      <w:r w:rsidRPr="001D71DB">
        <w:rPr>
          <w:rFonts w:ascii="TimesNewRomanPSMT" w:hAnsi="TimesNewRomanPSMT"/>
          <w:sz w:val="20"/>
          <w:szCs w:val="20"/>
          <w:lang w:val="en-US"/>
        </w:rPr>
        <w:t>Balance of data on substance as a whole, not determined.</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12.2 Eco toxicological properties of specific substances </w:t>
      </w:r>
      <w:r w:rsidRPr="001D71DB">
        <w:rPr>
          <w:rFonts w:ascii="TimesNewRomanPSMT" w:hAnsi="TimesNewRomanPSMT"/>
          <w:sz w:val="20"/>
          <w:szCs w:val="20"/>
          <w:lang w:val="en-US"/>
        </w:rPr>
        <w:t xml:space="preserve">See each category below for specific substances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12.3 Toxicity Acute fish toxicity: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LC50 / 96 HOUR – No data available</w:t>
      </w:r>
      <w:r w:rsidRPr="001D71DB">
        <w:rPr>
          <w:rFonts w:ascii="TimesNewRomanPSMT" w:hAnsi="TimesNewRomanPSMT"/>
          <w:sz w:val="20"/>
          <w:szCs w:val="20"/>
          <w:lang w:val="en-US"/>
        </w:rPr>
        <w:br/>
        <w:t xml:space="preserve">Toxicity to aquatic plants – No data available Toxicity to microorganisms – No data available Toxicity threshold – No data available </w:t>
      </w:r>
    </w:p>
    <w:p w:rsidR="00C2170E" w:rsidRDefault="00C2170E" w:rsidP="00C2170E">
      <w:pPr>
        <w:spacing w:before="100" w:beforeAutospacing="1" w:after="100" w:afterAutospacing="1"/>
        <w:rPr>
          <w:rFonts w:ascii="TimesNewRomanPSMT" w:hAnsi="TimesNewRomanPSMT"/>
          <w:sz w:val="20"/>
          <w:szCs w:val="20"/>
          <w:lang w:val="en-US"/>
        </w:rPr>
      </w:pPr>
      <w:r w:rsidRPr="001D71DB">
        <w:rPr>
          <w:rFonts w:ascii="TimesNewRomanPS" w:hAnsi="TimesNewRomanPS"/>
          <w:b/>
          <w:bCs/>
          <w:sz w:val="20"/>
          <w:szCs w:val="20"/>
          <w:lang w:val="en-US"/>
        </w:rPr>
        <w:t xml:space="preserve">12.4 Persistence and degradability </w:t>
      </w:r>
      <w:r w:rsidRPr="001D71DB">
        <w:rPr>
          <w:rFonts w:ascii="TimesNewRomanPSMT" w:hAnsi="TimesNewRomanPSMT"/>
          <w:sz w:val="20"/>
          <w:szCs w:val="20"/>
          <w:lang w:val="en-US"/>
        </w:rPr>
        <w:t>Biodegradation is expected</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12.5 Bio-accumulative potential </w:t>
      </w:r>
      <w:r w:rsidRPr="001D71DB">
        <w:rPr>
          <w:rFonts w:ascii="TimesNewRomanPSMT" w:hAnsi="TimesNewRomanPSMT"/>
          <w:sz w:val="20"/>
          <w:szCs w:val="20"/>
          <w:lang w:val="en-US"/>
        </w:rPr>
        <w:t>Bioaccumulation is unlikely</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12.6 Mobility in soil </w:t>
      </w:r>
      <w:r w:rsidRPr="001D71DB">
        <w:rPr>
          <w:rFonts w:ascii="TimesNewRomanPSMT" w:hAnsi="TimesNewRomanPSMT"/>
          <w:sz w:val="20"/>
          <w:szCs w:val="20"/>
          <w:lang w:val="en-US"/>
        </w:rPr>
        <w:t>Unknown</w:t>
      </w:r>
      <w:r w:rsidRPr="001D71DB">
        <w:rPr>
          <w:rFonts w:ascii="TimesNewRomanPSMT" w:hAnsi="TimesNewRomanPSMT"/>
          <w:sz w:val="20"/>
          <w:szCs w:val="20"/>
          <w:lang w:val="en-US"/>
        </w:rPr>
        <w:br/>
      </w:r>
      <w:r w:rsidRPr="001D71DB">
        <w:rPr>
          <w:rFonts w:ascii="TimesNewRomanPS" w:hAnsi="TimesNewRomanPS"/>
          <w:b/>
          <w:bCs/>
          <w:sz w:val="20"/>
          <w:szCs w:val="20"/>
          <w:lang w:val="en-US"/>
        </w:rPr>
        <w:t xml:space="preserve">12.7 Other adverse effect </w:t>
      </w:r>
      <w:r w:rsidRPr="001D71DB">
        <w:rPr>
          <w:rFonts w:ascii="TimesNewRomanPSMT" w:hAnsi="TimesNewRomanPSMT"/>
          <w:sz w:val="20"/>
          <w:szCs w:val="20"/>
          <w:lang w:val="en-US"/>
        </w:rPr>
        <w:t xml:space="preserve">Avoid exposure to marine environments and waterways </w:t>
      </w:r>
    </w:p>
    <w:p w:rsidR="00C2170E" w:rsidRPr="001D71DB" w:rsidRDefault="00C2170E" w:rsidP="00C2170E">
      <w:pPr>
        <w:spacing w:before="100" w:beforeAutospacing="1" w:after="100" w:afterAutospacing="1"/>
        <w:rPr>
          <w:lang w:val="en-US"/>
        </w:rPr>
      </w:pP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13: DISPOSAL CONSIDERATIONS </w:t>
      </w:r>
    </w:p>
    <w:p w:rsidR="00C2170E" w:rsidRPr="001D71DB" w:rsidRDefault="00C2170E" w:rsidP="00C2170E">
      <w:pPr>
        <w:spacing w:before="100" w:beforeAutospacing="1" w:after="100" w:afterAutospacing="1"/>
        <w:rPr>
          <w:lang w:val="en-US"/>
        </w:rPr>
      </w:pPr>
      <w:r w:rsidRPr="001D71DB">
        <w:rPr>
          <w:rFonts w:ascii="Times New Roman Bold" w:hAnsi="Times New Roman Bold"/>
          <w:sz w:val="20"/>
          <w:szCs w:val="20"/>
          <w:lang w:val="en-US"/>
        </w:rPr>
        <w:t xml:space="preserve">13.1 Waste treatment methods </w:t>
      </w:r>
    </w:p>
    <w:p w:rsidR="00C2170E" w:rsidRPr="001D71DB" w:rsidRDefault="00C2170E" w:rsidP="00C2170E">
      <w:pPr>
        <w:spacing w:before="100" w:beforeAutospacing="1" w:after="100" w:afterAutospacing="1"/>
        <w:rPr>
          <w:lang w:val="en-US"/>
        </w:rPr>
      </w:pPr>
      <w:r w:rsidRPr="001D71DB">
        <w:rPr>
          <w:sz w:val="20"/>
          <w:szCs w:val="20"/>
          <w:lang w:val="en-US"/>
        </w:rPr>
        <w:lastRenderedPageBreak/>
        <w:t>Do not pour into drains or waterways. Observe all federal, state, and local environmental regulations. Member State</w:t>
      </w:r>
      <w:r>
        <w:rPr>
          <w:sz w:val="20"/>
          <w:szCs w:val="20"/>
          <w:lang w:val="en-US"/>
        </w:rPr>
        <w:t xml:space="preserve"> </w:t>
      </w:r>
      <w:r w:rsidRPr="001D71DB">
        <w:rPr>
          <w:sz w:val="20"/>
          <w:szCs w:val="20"/>
          <w:lang w:val="en-US"/>
        </w:rPr>
        <w:t>specific and Community</w:t>
      </w:r>
      <w:r>
        <w:rPr>
          <w:sz w:val="20"/>
          <w:szCs w:val="20"/>
          <w:lang w:val="en-US"/>
        </w:rPr>
        <w:t xml:space="preserve"> </w:t>
      </w:r>
      <w:r w:rsidRPr="001D71DB">
        <w:rPr>
          <w:sz w:val="20"/>
          <w:szCs w:val="20"/>
          <w:lang w:val="en-US"/>
        </w:rPr>
        <w:t xml:space="preserve">specific provisions must be considered. Considering the relevant known environmental and human health hazards of the materials, review and implement appropriate technical and procedural wastewater and waste disposal measures to prevent occupational exposure and environmental release. It is recommended that waste minimization be practiced. The best available technology should be utilized to prevent environmental release. This may include destructive techniques for waste and wastewater. In extreme situations, contact a licensed professional waste disposal service to dispose of this material. </w:t>
      </w:r>
    </w:p>
    <w:p w:rsidR="00C2170E" w:rsidRDefault="00C2170E" w:rsidP="00C2170E">
      <w:pPr>
        <w:spacing w:before="100" w:beforeAutospacing="1" w:after="100" w:afterAutospacing="1"/>
        <w:rPr>
          <w:sz w:val="20"/>
          <w:szCs w:val="20"/>
          <w:lang w:val="en-US"/>
        </w:rPr>
      </w:pPr>
      <w:r w:rsidRPr="001D71DB">
        <w:rPr>
          <w:rFonts w:ascii="Times New Roman Bold" w:hAnsi="Times New Roman Bold"/>
          <w:sz w:val="20"/>
          <w:szCs w:val="20"/>
          <w:lang w:val="en-US"/>
        </w:rPr>
        <w:t xml:space="preserve">Waste: </w:t>
      </w:r>
      <w:r w:rsidRPr="001D71DB">
        <w:rPr>
          <w:sz w:val="20"/>
          <w:szCs w:val="20"/>
          <w:lang w:val="en-US"/>
        </w:rPr>
        <w:t xml:space="preserve">Proper waste management of the substance and/or its container must be determined in accordance with Directive 2008/98/EC. Do not pour into drains or waterways. Waste management is carried out without endangering human health, without harming the environment, and in particular Page 6 of 7 ITEM </w:t>
      </w:r>
      <w:r>
        <w:rPr>
          <w:sz w:val="20"/>
          <w:szCs w:val="20"/>
          <w:lang w:val="en-US"/>
        </w:rPr>
        <w:t>AM-001-358</w:t>
      </w:r>
      <w:r w:rsidRPr="001D71DB">
        <w:rPr>
          <w:rFonts w:ascii="TimesNewRomanPSMT" w:hAnsi="TimesNewRomanPSMT"/>
          <w:sz w:val="20"/>
          <w:szCs w:val="20"/>
          <w:lang w:val="en-US"/>
        </w:rPr>
        <w:t xml:space="preserve">– </w:t>
      </w:r>
      <w:r w:rsidRPr="001D71DB">
        <w:rPr>
          <w:sz w:val="20"/>
          <w:szCs w:val="20"/>
          <w:lang w:val="en-US"/>
        </w:rPr>
        <w:t>1</w:t>
      </w:r>
      <w:r w:rsidRPr="001D71DB">
        <w:rPr>
          <w:rFonts w:ascii="TimesNewRomanPSMT" w:hAnsi="TimesNewRomanPSMT"/>
          <w:sz w:val="20"/>
          <w:szCs w:val="20"/>
          <w:lang w:val="en-US"/>
        </w:rPr>
        <w:t>5 ml</w:t>
      </w:r>
      <w:r>
        <w:rPr>
          <w:rFonts w:ascii="TimesNewRomanPSMT" w:hAnsi="TimesNewRomanPSMT"/>
          <w:sz w:val="20"/>
          <w:szCs w:val="20"/>
          <w:lang w:val="en-US"/>
        </w:rPr>
        <w:t>.</w:t>
      </w:r>
      <w:r w:rsidRPr="001D71DB">
        <w:rPr>
          <w:sz w:val="20"/>
          <w:szCs w:val="20"/>
          <w:lang w:val="en-US"/>
        </w:rPr>
        <w:t xml:space="preserve"> </w:t>
      </w:r>
      <w:r>
        <w:rPr>
          <w:sz w:val="20"/>
          <w:szCs w:val="20"/>
          <w:lang w:val="en-US"/>
        </w:rPr>
        <w:t>wintergreen oil</w:t>
      </w:r>
      <w:r w:rsidRPr="001D71DB">
        <w:rPr>
          <w:sz w:val="20"/>
          <w:szCs w:val="20"/>
          <w:lang w:val="en-US"/>
        </w:rPr>
        <w:t xml:space="preserve"> without risk to water, air, soil, plants, or animals. Recycle or dispose of waste in compliance with current legislation, preferably via a certified collector or company. </w:t>
      </w:r>
    </w:p>
    <w:p w:rsidR="00C2170E" w:rsidRPr="001D71DB" w:rsidRDefault="00C2170E" w:rsidP="00C2170E">
      <w:pPr>
        <w:spacing w:before="100" w:beforeAutospacing="1" w:after="100" w:afterAutospacing="1"/>
        <w:rPr>
          <w:lang w:val="en-US"/>
        </w:rPr>
      </w:pP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14: TRANSPORT INFORMATION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14.1 UN Number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regulated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14.2 UN Proper shipping name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regulated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14.3 Transportation hazard classes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Road (U.S. DOT): Not regulated Air (IATA): Not regulated</w:t>
      </w:r>
      <w:r w:rsidRPr="001D71DB">
        <w:rPr>
          <w:rFonts w:ascii="TimesNewRomanPSMT" w:hAnsi="TimesNewRomanPSMT"/>
          <w:sz w:val="20"/>
          <w:szCs w:val="20"/>
          <w:lang w:val="en-US"/>
        </w:rPr>
        <w:br/>
        <w:t xml:space="preserve">Sea (IMDG): Not regulated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14.4 Packing group, if applicable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N/A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14.5 Environmental hazards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Substance not determined. Avoid exposure to waterways.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14.6 Special precautions for user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specified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14.7 Transport in bulk according to Annex II of MARPOL 73/78 ̊ and IBC Code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specified </w:t>
      </w:r>
    </w:p>
    <w:p w:rsidR="00C2170E" w:rsidRPr="001D71DB" w:rsidRDefault="00C2170E" w:rsidP="00C2170E">
      <w:pPr>
        <w:spacing w:before="100" w:beforeAutospacing="1" w:after="100" w:afterAutospacing="1"/>
        <w:rPr>
          <w:lang w:val="en-US"/>
        </w:rPr>
      </w:pPr>
      <w:r w:rsidRPr="001D71DB">
        <w:rPr>
          <w:rFonts w:ascii="TimesNewRomanPS" w:hAnsi="TimesNewRomanPS"/>
          <w:b/>
          <w:bCs/>
          <w:sz w:val="20"/>
          <w:szCs w:val="20"/>
          <w:lang w:val="en-US"/>
        </w:rPr>
        <w:t xml:space="preserve">14.8 Additional transport information </w:t>
      </w:r>
    </w:p>
    <w:p w:rsidR="00C2170E" w:rsidRPr="001D71DB" w:rsidRDefault="00C2170E" w:rsidP="00C2170E">
      <w:pPr>
        <w:spacing w:before="100" w:beforeAutospacing="1" w:after="100" w:afterAutospacing="1"/>
        <w:rPr>
          <w:lang w:val="en-US"/>
        </w:rPr>
      </w:pPr>
      <w:r w:rsidRPr="001D71DB">
        <w:rPr>
          <w:rFonts w:ascii="TimesNewRomanPSMT" w:hAnsi="TimesNewRomanPSMT"/>
          <w:sz w:val="20"/>
          <w:szCs w:val="20"/>
          <w:lang w:val="en-US"/>
        </w:rPr>
        <w:t xml:space="preserve">Not specified </w:t>
      </w:r>
    </w:p>
    <w:p w:rsidR="00C2170E" w:rsidRPr="00656D92" w:rsidRDefault="00C2170E" w:rsidP="00C2170E">
      <w:pPr>
        <w:spacing w:before="100" w:beforeAutospacing="1" w:after="100" w:afterAutospacing="1"/>
        <w:rPr>
          <w:lang w:val="en-US"/>
        </w:rPr>
      </w:pPr>
      <w:r w:rsidRPr="001D71DB">
        <w:rPr>
          <w:rFonts w:ascii="TimesNewRomanPS" w:hAnsi="TimesNewRomanPS"/>
          <w:b/>
          <w:bCs/>
          <w:sz w:val="20"/>
          <w:szCs w:val="20"/>
          <w:shd w:val="clear" w:color="auto" w:fill="8CA8D8"/>
          <w:lang w:val="en-US"/>
        </w:rPr>
        <w:t xml:space="preserve">SECTION 15: REGULATORY INFORMATION </w:t>
      </w:r>
    </w:p>
    <w:p w:rsidR="00C2170E" w:rsidRPr="006421BF" w:rsidRDefault="00C2170E" w:rsidP="00C2170E">
      <w:pPr>
        <w:spacing w:before="100" w:beforeAutospacing="1" w:after="100" w:afterAutospacing="1"/>
        <w:rPr>
          <w:lang w:val="en-US"/>
        </w:rPr>
      </w:pPr>
      <w:r w:rsidRPr="006421BF">
        <w:rPr>
          <w:b/>
          <w:bCs/>
          <w:lang w:val="en-US"/>
        </w:rPr>
        <w:t>15.1 Safety, health and environmental regulations/legislation specific for the substance or mixture:</w:t>
      </w:r>
    </w:p>
    <w:p w:rsidR="00C2170E" w:rsidRPr="006421BF" w:rsidRDefault="00C2170E" w:rsidP="00C2170E">
      <w:pPr>
        <w:numPr>
          <w:ilvl w:val="0"/>
          <w:numId w:val="1"/>
        </w:numPr>
        <w:spacing w:before="100" w:beforeAutospacing="1" w:after="100" w:afterAutospacing="1"/>
        <w:rPr>
          <w:lang w:val="en-US"/>
        </w:rPr>
      </w:pPr>
      <w:r w:rsidRPr="006421BF">
        <w:rPr>
          <w:lang w:val="en-US"/>
        </w:rPr>
        <w:lastRenderedPageBreak/>
        <w:t>Ensure compliance with local regulations.</w:t>
      </w:r>
    </w:p>
    <w:p w:rsidR="00C2170E" w:rsidRPr="006421BF" w:rsidRDefault="00C2170E" w:rsidP="00C2170E">
      <w:pPr>
        <w:spacing w:before="100" w:beforeAutospacing="1" w:after="100" w:afterAutospacing="1"/>
        <w:rPr>
          <w:lang w:val="en-US"/>
        </w:rPr>
      </w:pPr>
      <w:r w:rsidRPr="006421BF">
        <w:rPr>
          <w:b/>
          <w:bCs/>
          <w:lang w:val="en-US"/>
        </w:rPr>
        <w:t>15.2 Chemical safety assessment:</w:t>
      </w:r>
    </w:p>
    <w:p w:rsidR="00C2170E" w:rsidRPr="00BC6178" w:rsidRDefault="00C2170E" w:rsidP="00C2170E">
      <w:pPr>
        <w:pStyle w:val="NormaleWeb"/>
        <w:shd w:val="clear" w:color="auto" w:fill="FFFFFF"/>
        <w:rPr>
          <w:lang w:val="en-US"/>
        </w:rPr>
      </w:pPr>
      <w:r w:rsidRPr="006421BF">
        <w:rPr>
          <w:lang w:val="en-US"/>
        </w:rPr>
        <w:t>A chemical safety assessment has not been carried out for this product</w:t>
      </w:r>
    </w:p>
    <w:p w:rsidR="00C2170E" w:rsidRPr="00656D92" w:rsidRDefault="00C2170E" w:rsidP="00C2170E">
      <w:pPr>
        <w:spacing w:before="100" w:beforeAutospacing="1" w:after="100" w:afterAutospacing="1"/>
        <w:rPr>
          <w:lang w:val="en-US"/>
        </w:rPr>
      </w:pPr>
      <w:r w:rsidRPr="00656D92">
        <w:rPr>
          <w:rFonts w:ascii="TimesNewRomanPS" w:hAnsi="TimesNewRomanPS"/>
          <w:b/>
          <w:bCs/>
          <w:sz w:val="20"/>
          <w:szCs w:val="20"/>
          <w:shd w:val="clear" w:color="auto" w:fill="8CA8D8"/>
          <w:lang w:val="en-US"/>
        </w:rPr>
        <w:t xml:space="preserve">SECTION 16: OTHER INFORMATION </w:t>
      </w:r>
    </w:p>
    <w:p w:rsidR="00C2170E" w:rsidRPr="001D71DB" w:rsidRDefault="00C2170E" w:rsidP="00C2170E">
      <w:pPr>
        <w:spacing w:before="100" w:beforeAutospacing="1" w:after="100" w:afterAutospacing="1"/>
        <w:rPr>
          <w:lang w:val="en-US"/>
        </w:rPr>
      </w:pPr>
      <w:r w:rsidRPr="001D71DB">
        <w:rPr>
          <w:rFonts w:ascii="TimesNewRomanPSMT" w:hAnsi="TimesNewRomanPSMT"/>
          <w:color w:val="1E1E1E"/>
          <w:sz w:val="20"/>
          <w:szCs w:val="20"/>
          <w:lang w:val="en-US"/>
        </w:rPr>
        <w:t xml:space="preserve">Disclaimer: The information in this Safety Data Sheet (SDS) is believed to be accurate as of the date issued. HOWEVER, NO WARRANTY, EXPRESSED OR IMPLIED IS MADE CONCERNING THE ACCURACY, COMPLETENESS OR RELIABILITY OF THE INFORMATION PROVIDED HEREIN, INCLUDING BUT NOT LIMITED TO, WARRANTY OF MERCHANTABILITY OR FITNESS FOR ANY PARTICULAR PURPOSE OR COURSE OF PERFORMANCE. The information provided relates only to the specified product designated and may not be applicable where such product is used in combination with any other materials or in any process. Since the conditions and methods of handling, storage, use and disposal of the product are beyond the control of </w:t>
      </w:r>
      <w:r>
        <w:rPr>
          <w:rFonts w:ascii="TimesNewRomanPSMT" w:hAnsi="TimesNewRomanPSMT"/>
          <w:color w:val="1E1E1E"/>
          <w:sz w:val="20"/>
          <w:szCs w:val="20"/>
          <w:lang w:val="en-US"/>
        </w:rPr>
        <w:t>HAMID MASOUDI D.I</w:t>
      </w:r>
      <w:r w:rsidRPr="001D71DB">
        <w:rPr>
          <w:rFonts w:ascii="TimesNewRomanPSMT" w:hAnsi="TimesNewRomanPSMT"/>
          <w:color w:val="1E1E1E"/>
          <w:sz w:val="20"/>
          <w:szCs w:val="20"/>
          <w:lang w:val="en-US"/>
        </w:rPr>
        <w:t xml:space="preserve">, expressly disclaims any and all liability, loss or damage arising out of or relating to the use, storage, handling or disposal of the product or reliance on the information in this SDS. Users are cautioned to satisfy themselves as to the suitability of said information, procedures and recommendations for the purposes intended prior to use. </w:t>
      </w:r>
    </w:p>
    <w:p w:rsidR="00C2170E" w:rsidRDefault="00C2170E" w:rsidP="00C2170E">
      <w:pPr>
        <w:spacing w:before="100" w:beforeAutospacing="1" w:after="100" w:afterAutospacing="1"/>
        <w:rPr>
          <w:sz w:val="20"/>
          <w:szCs w:val="20"/>
          <w:lang w:val="en-US"/>
        </w:rPr>
      </w:pPr>
      <w:r w:rsidRPr="001D71DB">
        <w:rPr>
          <w:rFonts w:ascii="TimesNewRomanPSMT" w:hAnsi="TimesNewRomanPSMT"/>
          <w:sz w:val="20"/>
          <w:szCs w:val="20"/>
          <w:lang w:val="en-US"/>
        </w:rPr>
        <w:t xml:space="preserve">SDS Created: </w:t>
      </w:r>
      <w:r>
        <w:rPr>
          <w:sz w:val="20"/>
          <w:szCs w:val="20"/>
          <w:lang w:val="en-US"/>
        </w:rPr>
        <w:t>6 NOV</w:t>
      </w:r>
      <w:r w:rsidRPr="001D71DB">
        <w:rPr>
          <w:sz w:val="20"/>
          <w:szCs w:val="20"/>
          <w:lang w:val="en-US"/>
        </w:rPr>
        <w:t xml:space="preserve"> </w:t>
      </w:r>
      <w:r w:rsidRPr="001D71DB">
        <w:rPr>
          <w:rFonts w:ascii="TimesNewRomanPSMT" w:hAnsi="TimesNewRomanPSMT"/>
          <w:sz w:val="20"/>
          <w:szCs w:val="20"/>
          <w:lang w:val="en-US"/>
        </w:rPr>
        <w:t>202</w:t>
      </w:r>
      <w:r>
        <w:rPr>
          <w:sz w:val="20"/>
          <w:szCs w:val="20"/>
          <w:lang w:val="en-US"/>
        </w:rPr>
        <w:t>5</w:t>
      </w:r>
      <w:r w:rsidRPr="001D71DB">
        <w:rPr>
          <w:sz w:val="20"/>
          <w:szCs w:val="20"/>
          <w:lang w:val="en-US"/>
        </w:rPr>
        <w:t xml:space="preserve"> </w:t>
      </w:r>
    </w:p>
    <w:p w:rsidR="00C2170E" w:rsidRPr="001E25CD" w:rsidRDefault="00C2170E" w:rsidP="00C2170E">
      <w:pPr>
        <w:spacing w:before="100" w:beforeAutospacing="1" w:after="100" w:afterAutospacing="1"/>
        <w:rPr>
          <w:sz w:val="20"/>
          <w:szCs w:val="20"/>
          <w:lang w:val="en-US"/>
        </w:rPr>
      </w:pPr>
      <w:r w:rsidRPr="001D71DB">
        <w:rPr>
          <w:rFonts w:ascii="TimesNewRomanPSMT" w:hAnsi="TimesNewRomanPSMT"/>
          <w:sz w:val="20"/>
          <w:szCs w:val="20"/>
          <w:lang w:val="en-US"/>
        </w:rPr>
        <w:t xml:space="preserve">Revision Date: </w:t>
      </w:r>
      <w:r>
        <w:rPr>
          <w:rFonts w:ascii="TimesNewRomanPSMT" w:hAnsi="TimesNewRomanPSMT"/>
          <w:sz w:val="20"/>
          <w:szCs w:val="20"/>
          <w:lang w:val="en-US"/>
        </w:rPr>
        <w:t>6</w:t>
      </w:r>
      <w:r w:rsidRPr="001D71DB">
        <w:rPr>
          <w:rFonts w:ascii="TimesNewRomanPSMT" w:hAnsi="TimesNewRomanPSMT"/>
          <w:sz w:val="20"/>
          <w:szCs w:val="20"/>
          <w:lang w:val="en-US"/>
        </w:rPr>
        <w:t xml:space="preserve"> </w:t>
      </w:r>
      <w:r>
        <w:rPr>
          <w:rFonts w:ascii="TimesNewRomanPSMT" w:hAnsi="TimesNewRomanPSMT"/>
          <w:sz w:val="20"/>
          <w:szCs w:val="20"/>
          <w:lang w:val="en-US"/>
        </w:rPr>
        <w:t xml:space="preserve">NOV </w:t>
      </w:r>
      <w:r w:rsidRPr="001D71DB">
        <w:rPr>
          <w:rFonts w:ascii="TimesNewRomanPSMT" w:hAnsi="TimesNewRomanPSMT"/>
          <w:sz w:val="20"/>
          <w:szCs w:val="20"/>
          <w:lang w:val="en-US"/>
        </w:rPr>
        <w:t>202</w:t>
      </w:r>
      <w:r>
        <w:rPr>
          <w:sz w:val="20"/>
          <w:szCs w:val="20"/>
          <w:lang w:val="en-US"/>
        </w:rPr>
        <w:t>7</w:t>
      </w:r>
    </w:p>
    <w:p w:rsidR="00C2170E" w:rsidRPr="001D71DB" w:rsidRDefault="00C2170E" w:rsidP="00C2170E">
      <w:r w:rsidRPr="001D71DB">
        <w:fldChar w:fldCharType="begin"/>
      </w:r>
      <w:r w:rsidRPr="001D71DB">
        <w:instrText xml:space="preserve"> INCLUDEPICTURE "/Users/hamidmasoudi/Library/Group Containers/UBF8T346G9.ms/WebArchiveCopyPasteTempFiles/com.microsoft.Word/page6image30274144" \* MERGEFORMATINET </w:instrText>
      </w:r>
      <w:r w:rsidRPr="001D71DB">
        <w:fldChar w:fldCharType="separate"/>
      </w:r>
      <w:r w:rsidRPr="001D71DB">
        <w:rPr>
          <w:noProof/>
        </w:rPr>
        <w:drawing>
          <wp:inline distT="0" distB="0" distL="0" distR="0" wp14:anchorId="30C565A2" wp14:editId="1FD8C9D3">
            <wp:extent cx="5500370" cy="13970"/>
            <wp:effectExtent l="0" t="0" r="0" b="0"/>
            <wp:docPr id="628152655" name="Immagine 1" descr="page6image3027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6image30274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370" cy="13970"/>
                    </a:xfrm>
                    <a:prstGeom prst="rect">
                      <a:avLst/>
                    </a:prstGeom>
                    <a:noFill/>
                    <a:ln>
                      <a:noFill/>
                    </a:ln>
                  </pic:spPr>
                </pic:pic>
              </a:graphicData>
            </a:graphic>
          </wp:inline>
        </w:drawing>
      </w:r>
      <w:r w:rsidRPr="001D71DB">
        <w:fldChar w:fldCharType="end"/>
      </w:r>
    </w:p>
    <w:p w:rsidR="00C2170E" w:rsidRDefault="00C2170E" w:rsidP="00C2170E">
      <w:pPr>
        <w:spacing w:before="100" w:beforeAutospacing="1" w:after="100" w:afterAutospacing="1"/>
        <w:jc w:val="center"/>
        <w:rPr>
          <w:sz w:val="20"/>
          <w:szCs w:val="20"/>
          <w:lang w:val="en-US"/>
        </w:rPr>
      </w:pPr>
      <w:r w:rsidRPr="001D71DB">
        <w:rPr>
          <w:sz w:val="20"/>
          <w:szCs w:val="20"/>
        </w:rPr>
        <w:t xml:space="preserve">Via Capolago, 1- 20133 Milano - Italia. Tel. +39 02.39440753 - Cell. </w:t>
      </w:r>
      <w:r w:rsidRPr="001D71DB">
        <w:rPr>
          <w:sz w:val="20"/>
          <w:szCs w:val="20"/>
          <w:lang w:val="en-US"/>
        </w:rPr>
        <w:t>+39 3</w:t>
      </w:r>
      <w:r w:rsidRPr="001615B9">
        <w:rPr>
          <w:sz w:val="20"/>
          <w:szCs w:val="20"/>
          <w:lang w:val="en-US"/>
        </w:rPr>
        <w:t>200464074</w:t>
      </w:r>
      <w:r w:rsidRPr="001D71DB">
        <w:rPr>
          <w:sz w:val="20"/>
          <w:szCs w:val="20"/>
          <w:lang w:val="en-US"/>
        </w:rPr>
        <w:t xml:space="preserve"> www.a</w:t>
      </w:r>
      <w:r>
        <w:rPr>
          <w:sz w:val="20"/>
          <w:szCs w:val="20"/>
          <w:lang w:val="en-US"/>
        </w:rPr>
        <w:t>myron</w:t>
      </w:r>
      <w:r w:rsidRPr="001D71DB">
        <w:rPr>
          <w:sz w:val="20"/>
          <w:szCs w:val="20"/>
          <w:lang w:val="en-US"/>
        </w:rPr>
        <w:t xml:space="preserve">.it </w:t>
      </w:r>
      <w:r>
        <w:rPr>
          <w:sz w:val="20"/>
          <w:szCs w:val="20"/>
          <w:lang w:val="en-US"/>
        </w:rPr>
        <w:t>–</w:t>
      </w:r>
    </w:p>
    <w:p w:rsidR="00C2170E" w:rsidRPr="001D71DB" w:rsidRDefault="00C2170E" w:rsidP="00C2170E">
      <w:pPr>
        <w:spacing w:before="100" w:beforeAutospacing="1" w:after="100" w:afterAutospacing="1"/>
        <w:jc w:val="center"/>
        <w:rPr>
          <w:lang w:val="en-US"/>
        </w:rPr>
      </w:pPr>
      <w:r w:rsidRPr="001D71DB">
        <w:rPr>
          <w:sz w:val="20"/>
          <w:szCs w:val="20"/>
          <w:lang w:val="en-US"/>
        </w:rPr>
        <w:t>Email: info@a</w:t>
      </w:r>
      <w:r w:rsidRPr="001615B9">
        <w:rPr>
          <w:sz w:val="20"/>
          <w:szCs w:val="20"/>
          <w:lang w:val="en-US"/>
        </w:rPr>
        <w:t>myron</w:t>
      </w:r>
      <w:r w:rsidRPr="001D71DB">
        <w:rPr>
          <w:sz w:val="20"/>
          <w:szCs w:val="20"/>
          <w:lang w:val="en-US"/>
        </w:rPr>
        <w:t>.it</w:t>
      </w:r>
    </w:p>
    <w:p w:rsidR="00C2170E" w:rsidRPr="001D71DB" w:rsidRDefault="00C2170E" w:rsidP="00C2170E">
      <w:pPr>
        <w:spacing w:before="100" w:beforeAutospacing="1" w:after="100" w:afterAutospacing="1"/>
        <w:jc w:val="center"/>
        <w:rPr>
          <w:lang w:val="en-US"/>
        </w:rPr>
      </w:pPr>
      <w:r w:rsidRPr="001D71DB">
        <w:rPr>
          <w:sz w:val="20"/>
          <w:szCs w:val="20"/>
          <w:lang w:val="en-US"/>
        </w:rPr>
        <w:t xml:space="preserve">P. IVA </w:t>
      </w:r>
      <w:r>
        <w:rPr>
          <w:sz w:val="20"/>
          <w:szCs w:val="20"/>
          <w:lang w:val="en-US"/>
        </w:rPr>
        <w:t>09898100962</w:t>
      </w:r>
      <w:r w:rsidRPr="001D71DB">
        <w:rPr>
          <w:sz w:val="20"/>
          <w:szCs w:val="20"/>
          <w:lang w:val="en-US"/>
        </w:rPr>
        <w:t xml:space="preserve"> </w:t>
      </w:r>
    </w:p>
    <w:p w:rsidR="00C2170E" w:rsidRDefault="00C2170E" w:rsidP="00C2170E">
      <w:pPr>
        <w:rPr>
          <w:lang w:val="en-US"/>
        </w:rPr>
      </w:pPr>
    </w:p>
    <w:p w:rsidR="00C2170E" w:rsidRDefault="00C2170E" w:rsidP="00C2170E">
      <w:pPr>
        <w:rPr>
          <w:lang w:val="en-US"/>
        </w:rPr>
      </w:pPr>
    </w:p>
    <w:p w:rsidR="00C2170E" w:rsidRDefault="00C2170E" w:rsidP="00C2170E">
      <w:pPr>
        <w:rPr>
          <w:lang w:val="en-US"/>
        </w:rPr>
      </w:pPr>
    </w:p>
    <w:p w:rsidR="00C2170E" w:rsidRPr="001615B9" w:rsidRDefault="00C2170E" w:rsidP="00C2170E">
      <w:pPr>
        <w:rPr>
          <w:lang w:val="en-US"/>
        </w:rPr>
      </w:pPr>
    </w:p>
    <w:p w:rsidR="00C2170E" w:rsidRDefault="00C2170E" w:rsidP="00C2170E"/>
    <w:p w:rsidR="00C2170E" w:rsidRDefault="00C2170E"/>
    <w:sectPr w:rsidR="00C217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0B1"/>
    <w:multiLevelType w:val="multilevel"/>
    <w:tmpl w:val="DCE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A6C66"/>
    <w:multiLevelType w:val="multilevel"/>
    <w:tmpl w:val="98429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A289B"/>
    <w:multiLevelType w:val="multilevel"/>
    <w:tmpl w:val="00B8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981521">
    <w:abstractNumId w:val="0"/>
  </w:num>
  <w:num w:numId="2" w16cid:durableId="1379360787">
    <w:abstractNumId w:val="1"/>
  </w:num>
  <w:num w:numId="3" w16cid:durableId="91659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0E"/>
    <w:rsid w:val="00C21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A81813"/>
  <w15:chartTrackingRefBased/>
  <w15:docId w15:val="{363A86E9-4EE9-7B4E-AD88-0EBAC3C4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170E"/>
    <w:rPr>
      <w:rFonts w:ascii="Times New Roman" w:eastAsia="Times New Roman" w:hAnsi="Times New Roman" w:cs="Times New Roman"/>
      <w:kern w:val="0"/>
      <w:lang w:eastAsia="it-IT"/>
      <w14:ligatures w14:val="none"/>
    </w:rPr>
  </w:style>
  <w:style w:type="paragraph" w:styleId="Titolo3">
    <w:name w:val="heading 3"/>
    <w:basedOn w:val="Normale"/>
    <w:link w:val="Titolo3Carattere"/>
    <w:uiPriority w:val="9"/>
    <w:qFormat/>
    <w:rsid w:val="00C2170E"/>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2170E"/>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C2170E"/>
    <w:pPr>
      <w:spacing w:before="100" w:beforeAutospacing="1" w:after="100" w:afterAutospacing="1"/>
    </w:pPr>
  </w:style>
  <w:style w:type="character" w:styleId="Enfasigrassetto">
    <w:name w:val="Strong"/>
    <w:basedOn w:val="Carpredefinitoparagrafo"/>
    <w:uiPriority w:val="22"/>
    <w:qFormat/>
    <w:rsid w:val="00C2170E"/>
    <w:rPr>
      <w:b/>
      <w:bCs/>
    </w:rPr>
  </w:style>
  <w:style w:type="table" w:styleId="Grigliatabella">
    <w:name w:val="Table Grid"/>
    <w:basedOn w:val="Tabellanormale"/>
    <w:uiPriority w:val="39"/>
    <w:rsid w:val="00C2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4300">
      <w:bodyDiv w:val="1"/>
      <w:marLeft w:val="0"/>
      <w:marRight w:val="0"/>
      <w:marTop w:val="0"/>
      <w:marBottom w:val="0"/>
      <w:divBdr>
        <w:top w:val="none" w:sz="0" w:space="0" w:color="auto"/>
        <w:left w:val="none" w:sz="0" w:space="0" w:color="auto"/>
        <w:bottom w:val="none" w:sz="0" w:space="0" w:color="auto"/>
        <w:right w:val="none" w:sz="0" w:space="0" w:color="auto"/>
      </w:divBdr>
    </w:div>
    <w:div w:id="1386638300">
      <w:bodyDiv w:val="1"/>
      <w:marLeft w:val="0"/>
      <w:marRight w:val="0"/>
      <w:marTop w:val="0"/>
      <w:marBottom w:val="0"/>
      <w:divBdr>
        <w:top w:val="none" w:sz="0" w:space="0" w:color="auto"/>
        <w:left w:val="none" w:sz="0" w:space="0" w:color="auto"/>
        <w:bottom w:val="none" w:sz="0" w:space="0" w:color="auto"/>
        <w:right w:val="none" w:sz="0" w:space="0" w:color="auto"/>
      </w:divBdr>
    </w:div>
    <w:div w:id="17158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2025-09-16T09:23:00Z</cp:lastPrinted>
  <dcterms:created xsi:type="dcterms:W3CDTF">2025-09-16T09:14:00Z</dcterms:created>
  <dcterms:modified xsi:type="dcterms:W3CDTF">2025-09-16T09:23:00Z</dcterms:modified>
</cp:coreProperties>
</file>